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417 vom 27. Juni 2023</w:t>
      </w:r>
    </w:p>
    <w:p>
      <w:r>
        <w:t>VD Tribunal cantonal, 2023-06-27, FR</w:t>
      </w:r>
    </w:p>
    <w:p>
      <w:r>
        <w:rPr>
          <w:b/>
        </w:rPr>
        <w:t xml:space="preserve">Quelle: </w:t>
      </w:r>
      <w:r>
        <w:t>https://mcp.opencaselaw.ch/entscheid/vd_findinfo_HC___2023___417</w:t>
      </w:r>
    </w:p>
    <w:p>
      <w:r>
        <w:t>FR: VD_FINDINFO HC / 2023 / 417 du 27 juin 2023</w:t>
      </w:r>
    </w:p>
    <w:p>
      <w:r>
        <w:t>IT: VD_FINDINFO HC / 2023 / 417 del 27 giugno 2023</w:t>
      </w:r>
    </w:p>
    <w:p>
      <w:pPr>
        <w:pStyle w:val="Heading2"/>
      </w:pPr>
      <w:r>
        <w:t>Regeste</w:t>
      </w:r>
    </w:p>
    <w:p>
      <w:r>
        <w:t>DÉCISION D'IRRECEVABILITÉ, CONCLUSIONS, OBLIGATION DE CHIFFRER LES CONCLUSIONS, MOTIVATION DE LA DEMANDE | 311 al. 1 CPC (CH)</w:t>
      </w:r>
    </w:p>
    <w:p>
      <w:pPr>
        <w:pStyle w:val="Heading2"/>
      </w:pPr>
      <w:r>
        <w:t>Volltext</w:t>
      </w:r>
    </w:p>
    <w:p>
      <w:r>
        <w:t>Vaud Tribunal cantonal Cour d'appel civile HC / 2023 / 417</w:t>
      </w:r>
    </w:p>
    <w:p>
      <w:r>
        <w:t>DÉCISION D'IRRECEVABILITÉ, CONCLUSIONS, OBLIGATION DE CHIFFRER LES CONCLUSIONS, MOTIVATION DE LA DEMANDE | 311 al. 1 CPC (CH)</w:t>
      </w:r>
    </w:p>
    <w:p>
      <w:r>
        <w:t>TRIBUNAL CANTONAL P321.043142-230592 257 cour d’appel CIVILE _____________________________ Arrêt du 27 juin 2023 __________________ Composition :               Mme Crittin Dayen , présidente Mme Cherpillod et M. Segura, juges Greffière :              Mme Bourqui ***** Art. 311 al. 1 CPC Statuant sur l’appel interjeté par B.________ , à [...], demandeur, contre le jugement rendu le 20 février 2023 par le Tribunal de prud’hommes de l’arrondissement de La Côte dans la cause divisant l’appelant d’avec P.________ , à [...], défenderesse, la Cour d’appel civile du Tribunal cantonal considère : En fait et en droit : 1. Par jugement du 20 février 2023, motivé le 21 mars 2023, le Tribunal de prud’hommes de l’arrondissement de La Côte (ci-après : les premiers juges) a rejeté les conclusions déposées par B.________ à l’encontre de P.________ (I), a dit que B.________ était le débiteur de P.________ et lui devait immédiat paiement de la somme de 2'000 fr. à titre de dépens (II) et a rendu le jugement sans frais (III). 2. Par acte du 3 mai 2023, B.________ (ci-après : l’appelant) a interjeté appel de ce jugement en prenant les conclusions suivantes (sic) : « Par ces motifs et eu égard aux considérations de ce qui précède, la partie appelante rejette intensément le paiement de le montant de 2'000 CHF, et de faire valoir son droit de protection contre un licenciement abusif, concernant ses acquis en termes de vacances, congés payés, d’AVS et de LPP et autres arriérés jugés utiles à vos yeux. La partie appelante sollicite tant principalement que subsidiairement le suivant : - Admettre le présent appel interjeté contre la P.________. - Réviser le jugement du Tribunal de prud’hommes d’arrondissement de la Côte daté du 20 février 2023, afin d’obtenir entièrement gain de cause. - Condamner la partie adverse au paiement des sommes y relatives au procès, au moyen des tarifs des dépens en matière civile et à supporter les frais judiciaires y liés selon la loi. - Bien vouloir communiquer aux parties concernées le présent appel. ». P.________ (ci-après : l’intimée) n’a pas été invitée à se déterminer. 3. 3.1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 3.2 3.2.1 L'art. 311 al. 1 CPC exige que l'appel soit écrit et motivé. Certes, cette disposition ne parle que d'une motivation, mais celle-ci doit précisément permettre au recourant d'étayer ses conclusions et suppose dès lors celles-ci.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TF 5A_164/2019 du 20 mai 2020 consid. 4.3 non publié in ATF 146 III 203). Si nécessaire et à l'instar de toute déclaration en procédure, les conclusions doivent être interprétées de bonne foi, en particulier sur la base de la motivation qui les accompagne (ATF 137 III 617 consid. 6.2 ; TF 4A_274/2020 du 1 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 ; ATF 133 II 409 consid. 1.4.2 ; TF 5A_164/2019 précité consid. 4.3). Il n'existe pas de présomption selon laquelle l’appelant qui ne précise pas ses conclusions serait censé reprendre celles formulées devant l'instance précédente (TF 5D_43/2019 du 24 mai 2019 consid. 3.2.2.1 et la réf. cit. ; CACI 3 novembre 2020/462). 3.2.2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(TF 5A_577/2020 du 16 décembre 2020 consid. 5). Ainsi, notamment, lorsque la motivation de l'appel est identique aux moyens qui avaient déjà été présentés en première instance, avant la reddition de la décision attaquée (TF 4A_621/2021 du 30 août 2022 consid. 3.1 ;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5A_577/2020 précité consid. 5 ; TF 4A_97/2014 précité consid. 3.3 ; TF 5A_438/2012 du 27 août 2012 consid. 2.2). Lorsqu'elle examine un acte déposé par une partie non assistée ne disposant pas d'une formation juridique, l'autorité d'appel ne doit pas se montrer trop stricte s'agissant de l'exigence de motivation (TF 4A_117/2022 du 8 avril 2022 consid. 2.1.1 ; TF 4A_56/2021 du 30 avril 2021 consid. 5.1 ; TF 5A_577/2020 du 16 décembre 2020 consid. 5). Même rédigé par un non-juriste, l'appel doit néanmoins permettre de comprendre sur quels points la décision attaquée serait erronée (TF 5A_577/2020 précité consid. 6) ; l'exigence d'une motivation minimale ne saurait constituer une violation du droit d'être entendu ou de l'interdiction du formalisme excessif (ATF 134 II 244 consid. 2.4.2 et les réf. ci. ; TF 5A_577/2020 précité consid. 6). L'art. 132 CPC ne permet pas de compléter ou d'améliorer une motivation insuffisante, ce même si le mémoire émane d'une personne sans formation juridique. Il ne saurait être remédié à un défaut de motivation ou à des conclusions déficientes, de tels vices n'étant pas d'ordre formel et affectant le recours de manière irréparable (ATF 137 III 617 consid. 6.4 ; TF 5A_368/2018 du 25 avril 2019 consid. 4.3.4 et réf. cit. ; TF 4A_375/2015 du 26 janvier 2016 consid. 7.2, non publié in ATF 142 III 102). 3.3 En l’espèce, l’acte déposé par l’appelant ne satisfait pas aux prescriptions de forme découlant de l’art. 311 al. 1 CPC. L’écriture ne comporte aucune conclusion chiffrée, l’appelant se contentant de demander à obtenir entièrement gain de cause, sans préciser sur quoi. Dans la mesure où il est de jurisprudence constante (cf. consid. 3.2.1 supra ) qu’il n'existe pas de présomption selon laquelle l’appelant, qui ne précise pas ses conclusions, serait censé reprendre celles formulées devant l'instance précédente, il ne peut être pallié au défaut de conclusions chiffrées en l’espèce. Au surplus, la lecture de l’acte d’appel ne permet pas de comprendre ce que demande l’appelant. On ne distingue aucun grief précis contre le jugement entrepris, son auteur se limitant à énumérer des articles de loi et à faire des assertions générales sans explication quant au cas d’espèce. Etant dépourvu de conclusion chiffrée et, faute pour l’acte d’être motivé de façon à permettre l’examen de son bien-fondé, il se révèle irrecevable. L’appelant a également conclu à ce que les dépens de première instance soient mis à la charge de la partie adverse. Or, les motifs relatifs à la question des dépens ne sont pas disjoints de ceux de la question principale et l’appelant n’ayant pas invoqué d’autres motifs que ceux qu’il faisait valoir quant au fond en rapport avec ce grief, il ne saurait être entré en matière sur celui-ci (TF 4A_528/2012 du 14 décembre 2012 consid. 1 et les réf. cit.). 4. Il résulte de ce qui précède que l’appel doit être déclaré irrecevable selon le mode procédural de l’art. 312 al. 1 in fine CPC. Il ne sera pas perçu de frais judiciaires de deuxième instance (art. 11 TFJC [tarif des frais judiciaires civils du 28 septembre 2010 ; BLV 270.11.5]). L’intimée n’ayant pas été invitée à procéder, il n’y a pas lieu à l’allocation de dépens de deuxième instance. Par ces motifs, la Cour d’appel civile prononce : I. L’appel est irrecevable. II. L’arrêt, rendu sans frais, est exécutoire. La présidente :               La greffière : Du Le présent arrêt, dont la rédaction a été approuvée à huis clos, est notifié à : ‑ M. B.________, ‑ Me Eric Stauffacher (pour P.________), et communiqué, par l'envoi de photocopies, à : ‑ Mme la Présidente du Tribunal de prud’hommes de l’arrondissement de La Côte.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