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411 vom 28. Juni 2023</w:t>
      </w:r>
    </w:p>
    <w:p>
      <w:r>
        <w:t>VD Tribunal cantonal, 2023-06-28, FR</w:t>
      </w:r>
    </w:p>
    <w:p>
      <w:r>
        <w:rPr>
          <w:b/>
        </w:rPr>
        <w:t xml:space="preserve">Quelle: </w:t>
      </w:r>
      <w:r>
        <w:t>https://mcp.opencaselaw.ch/entscheid/vd_findinfo_HC___2023___411</w:t>
      </w:r>
    </w:p>
    <w:p>
      <w:r>
        <w:t>FR: VD_FINDINFO HC / 2023 / 411 du 28 juin 2023</w:t>
      </w:r>
    </w:p>
    <w:p>
      <w:r>
        <w:t>IT: VD_FINDINFO HC / 2023 / 411 del 28 giugno 2023</w:t>
      </w:r>
    </w:p>
    <w:p>
      <w:pPr>
        <w:pStyle w:val="Heading2"/>
      </w:pPr>
      <w:r>
        <w:t>Regeste</w:t>
      </w:r>
    </w:p>
    <w:p>
      <w:r>
        <w:t>ORGANISATION{EN GÉNÉRAL}, SOCIÉTÉ À RESPONSABILITÉ LIMITÉE, ADMISSION DE LA DEMANDE | 731b al. 1 CO</w:t>
      </w:r>
    </w:p>
    <w:p>
      <w:pPr>
        <w:pStyle w:val="Heading2"/>
      </w:pPr>
      <w:r>
        <w:t>Erwägungen</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Si la décision a été rendue en procédure sommaire – ce qui est le cas, dans les affaires de droit des sociétés, des mesures destinées à remédier aux carences dans l’organisation de la société relevant toutes de la procédure sommaire (art. 731b al. 1bis ch. 1 CO ; art. 250 let. c ch. 6 CPC ; TF 4A_51/2017 du 30 mai 2017 consid. 5 ; TF 4A_630/2011 du 7 mars 2012 consid. 3.9) –,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BLV 173.01]). La procédure en cas de carences dans l’organisation de la société a un caractère contentieux (ATF 141 III 43 consid. 2.2.1, JdT 2015 II 278 ; TF 4A_321/2008 consid. 2 ; contra D. Piotet, in Petit Commentaire CPC, Bâle 2021, n. 17f ad art. 19 CPC et les réf.) Elle concerne toutes les mesures destinées à y remédier (art. 250 let. c ch. 6 et 11 CPC) et doit être conduite en la forme sommaire (ATF 141 III 43 précité ; ATF 138 III 166 consid. 3.9 ; TF 4A_51/2017 du 30 mai 2017 consid. 5). Les décisions de dissolution ne doivent pas être confirmées dans une procédure ordinaire subséquente, raison pour laquelle, à l’expiration du délai de recours, elles entrent formellement en force et deviennent irrévocables (ATF 141 III 43 consid. 2.5.2, JdT 2015 II 278 ; Bohler/Kummer, in Zürcher Kommentar , Obligationenrecht , Die Aktiengesellschaft , Generalversammlung und Verwaltungsrat , Mängel in der Organisation ,</w:t>
      </w:r>
    </w:p>
    <w:p>
      <w:r>
        <w:rPr>
          <w:b/>
        </w:rPr>
        <w:t>E. 1.2</w:t>
      </w:r>
    </w:p>
    <w:p>
      <w:r>
        <w:t>La décision attaquée prononce la dissolution et ordonne la liquidation de la société appelante, dont le capital social, entièrement libéré, s’élève à 20'000 francs. La valeur litigieuse excède ainsi le minimum légal de 10'000 fr., de sorte que la voie de l’appel est ouverte (cf. TF 4A_142/2016 du 25 novembre 2016 consid. 1.2.2 ; TF 4A_630/2011 du 7 mars 2012 consid. 1 ; CACI 28 mai 2021/247 consid. 1.2). Partant, formé en temps utile par une partie qui a un intérêt digne de protection (art. 59 al. 2 let. a CPC), l’appel est recevable. 2. 2.1 S'agissant d'une action fondée sur l'art. 731b CO, la procédure est gouvernée par la maxime officielle (art. 58 al. 2 CPC), le juge n'étant ainsi pas lié par les conclusions des parties (ATF 138 III 294 consid. 3.1.3, JdT 2013 II 365 ; TF 4A_51/2017 du 30 mai 2017 consid. 5 ; Chenaux/Hänni, Carences dans l’organisation de la société : études des aspects matériels et procéduraux de l’art. 731b CO, JdT 2013 II 97, p. 103). La maxime inquisitoire limitée est applicable (CACI 13 mai 2020/177 consid. 3.2, JdT 2021 III 79 consid. 3.2). 2.2 2.2.1 Si l'instance d'appel peut librement décider d'administrer des preuves en vertu de l'art. 316 al. 3 CPC, cette disposition ne confère pas au justiciable un droit à la réouverture de la procédure probatoire et à l'administration de preuves. Ni l'art. 8 CC ou l'art. 29 al. 2 Cst. (Constitution fédérale du 18 avril 1999 ; RS 101), n'excluent une appréciation anticipée des preuves (ATF 138 III 374 consid. 4.3.1 et les arrêts cités). L’autorité d’appel peut ainsi renoncer à procéder à des mesures d'instruction lorsque les preuves administrées lui ont permis de forger sa conviction et que, procédant à une appréciation anticipée des preuves qui lui sont encore proposées, elle a la certitude qu'elles ne pourraient l'amener à modifier son opinion (ATF 140 I 285 consid. 6.3.1 ; ATF 138 III 374 consid. 4.3.2 ; TF 5A_489/2019 du 24 août 2020 consid. 3.2 et les réf. citées). En règle générale, la procédure d'appel est conduite sur pièces sans audience ni administration de preuves (ATF 142 III 413 consid. 2.2.1 et les réf. citées ; TF 5A_37/2017 du 10 juillet 2017 consid. 3.1.2). 2.2 L’appelante requiert, à titre de mesures d’instruction, l’audition de son gérant président P.________ et de T.________. En l’espèce, les pièces produites en appel suffisent à démontrer l’absence de carence de l’appelante, de sorte que cette réquisition s’avère inutile.</w:t>
      </w:r>
    </w:p>
    <w:p>
      <w:r>
        <w:rPr>
          <w:b/>
        </w:rPr>
        <w:t>E. 3</w:t>
      </w:r>
    </w:p>
    <w:p>
      <w:r>
        <w:t>e éd., Zürich 2018, n. 70 ad art. 731b CO).</w:t>
      </w:r>
    </w:p>
    <w:p>
      <w:r>
        <w:rPr>
          <w:b/>
        </w:rPr>
        <w:t>E. 3.1</w:t>
      </w:r>
    </w:p>
    <w:p>
      <w:r>
        <w:t>L’appelante expose avoir son siège et son domicile au [...] à [...]. Elle a rencontré des difficultés d’acheminement du courrier postal, a priori en raison de travaux à proximité.</w:t>
      </w:r>
    </w:p>
    <w:p>
      <w:r>
        <w:rPr>
          <w:b/>
        </w:rPr>
        <w:t>E. 3.2.1</w:t>
      </w:r>
    </w:p>
    <w:p>
      <w:r>
        <w:t>Au sens de l’art. 731b al. 1 ch. 5 CO, il y a carence dans l'organisation de la société lorsque celle-ci n’a plus de domicile à son siège. Aux termes de l’art. 939 CO, dans sa teneur modifiée en vigueur depuis le 1 er janvier 2021, lorsque l’office du registre du commerce constate qu’une société commerciale, une société coopérative, une association, une fondation qui n’est pas soumise à surveillance ou une succursale dont l’établissement principal est à l’étranger, inscrite au registre du commerce, présente des carences dans l’organisation impérativement prescrite par la loi, il somme l’entité juridique d’y remédier et lui impartit un délai (al. 1) ; si elle ne remédie pas aux carences dans le délai imparti, l’office du registre du commerce transmet l’affaire au tribunal ; celui-ci prend les mesures nécessaires (al. 2). Selon le Message (Message du Conseil fédéral concernant la modification du code des obligations – Droit du registre du commerce – du 15 avril 2015 ; FF 2015 3255), l’office du registre du commerce ne doit plus, en cas de carence dans l’organisation, requérir que les mesures nécessaires soient prises, mais transmettre l’affaire au tribunal ou à l’autorité de surveillance, qui prendra les mesures nécessaires d’office. Le registre du commerce n’a pas la qualité de partie à la procédure (Message, FF 2015 3286). Lorsqu’il transmet l’affaire au tribunal, il ne poursuit aucun intérêt qui lui soit propre (Message, FF 2015 3287). Le juge peut prendre toute mesure nécessaire. Pour la société anonyme, ces mesures sont, notamment, celles prévues à l’art. 731b al. 1bis CO – à savoir : fixer un délai à la société pour rétablir la situation légale, sous peine de dissolution (ch. 1), nommer l’organe qui fait défaut ou un commissaire (ch. 2), prononcer la dissolution de la société et ordonner sa liquidation selon les dispositions applicables à la faillite (ch. 3) – cette liste n’étant pas exhaustive. Le but de ces mesures est le rétablissement de la légalité, par la mise en conformité de la société et, subsidiairement, si cette mise en conformité ne se fait pas, par la suppression de la société (CACI 19 janvier 2023/25 consid. 3.2).</w:t>
      </w:r>
    </w:p>
    <w:p>
      <w:r>
        <w:rPr>
          <w:b/>
        </w:rPr>
        <w:t>E. 3.2.2</w:t>
      </w:r>
    </w:p>
    <w:p>
      <w:r>
        <w:t>La fixation d’un délai pour rétablir la situation sous menace de dissolution, en vertu de l’art. 731b al. 1bis ch. 1 CO, n’a pas d’autre but que d’inciter les administrateurs à rétablir la situation dans un laps de temps qui leur est laissé avant le prononcé de la dissolution. Si les administrateurs ne respectent pas le délai, mais remédient néanmoins aux carences avant la dissolution, on ne discerne pas quel intérêt matériel serait lésé par le maintien de la société, à tout le moins si aucun actionnaire ni aucun créancier ne démontre qu’il en résulterait un préjudice pour lui. Si les administrateurs attendent que la décision de dissolution soit rendue pour ce faire, et qu’un appel doive être interjeté pour invoquer le rétablissement de la situation légale, il ne résulte pas de préjudice procédural pour une partie adverse, si la procédure a été menée sur signalement de l’office du registre du commerce (CACI 19 janvier 2023/25 consid. 3.3).</w:t>
      </w:r>
    </w:p>
    <w:p>
      <w:r>
        <w:rPr>
          <w:b/>
        </w:rPr>
        <w:t>E. 3.3</w:t>
      </w:r>
    </w:p>
    <w:p>
      <w:r>
        <w:t>En l’espèce, il ressort des pièces produites par l’appelante – admissibles au regard de la maxime inquisitoire limitée – que celle-ci dispose bien d’une adresse au [...] à [...]. Elle y reçoit des courriers régulièrement. Il n’apparaît dès lors pas qu’il y ait une carence dans son organisation.</w:t>
      </w:r>
    </w:p>
    <w:p>
      <w:r>
        <w:rPr>
          <w:b/>
        </w:rPr>
        <w:t>E. 4.1</w:t>
      </w:r>
    </w:p>
    <w:p>
      <w:r>
        <w:t>En définitive, l’appel doit être admis et le jugement réformé en ce sens qu'il est pris acte du rétablissement de la situation légale de la société appelante, laquelle n’est plus soumise à dissolution ni liquidation.</w:t>
      </w:r>
    </w:p>
    <w:p>
      <w:r>
        <w:rPr>
          <w:b/>
        </w:rPr>
        <w:t>E. 4.2</w:t>
      </w:r>
    </w:p>
    <w:p>
      <w:r>
        <w:t>Selon l’art. 318 al. 3 CPC, si l’instance d’appel statue à nouveau, elle se prononce sur les frais – soit les frais judiciaires et les dépens (art. 95 al. 1 CPC) – de la première instance. Force est de constater que l’appelante a compliqué la procédure. En effet, la requête du Registre du commerce destinée à la première juge a également été communiquée à P.________, gérant et président de l’appelante, comme en atteste les indications contenues dans l’avis du 14 novembre 2022, respectivement du procès-verbal des opérations. Or, l’appelante n’expose pas que des problèmes postaux auraient empêché le prénommé de les réceptionner. Si son gérant avait réagi dans le délai imparti par l’avis précité, la procédure aurait eu un autre sort. Partant, c’est cette inaction qui a rendu nécessaire le dépôt d’un appel. En conséquence, les frais judiciaires de première instance, arrêtés à 570 fr. (art. 28 TFJC [tarif des frais judiciaires civils du 28 septembre 2010 ; BLV 270.11.5]), demeureront à la charge de l’appelante (art. 108 CPC).</w:t>
      </w:r>
    </w:p>
    <w:p>
      <w:r>
        <w:rPr>
          <w:b/>
        </w:rPr>
        <w:t>E. 4.3</w:t>
      </w:r>
    </w:p>
    <w:p>
      <w:r>
        <w:t>En ce qui concerne les frais judiciaires de deuxième instance, arrêtés à 800 fr. (art. 62 al. 1 TFJC), ils seront mis à la charge de l’appelante, dès lors que son inaction a donné lieu à la procédure (art. 108 CPC).</w:t>
      </w:r>
    </w:p>
    <w:p>
      <w:r>
        <w:rPr>
          <w:b/>
        </w:rPr>
        <w:t>E. 4.4</w:t>
      </w:r>
    </w:p>
    <w:p>
      <w:r>
        <w:t>Pour les mêmes motifs qu’expliqués précédemment (cf. supra consid. 4.2),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