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374 vom 15. Juni 2023</w:t>
      </w:r>
    </w:p>
    <w:p>
      <w:r>
        <w:t>VD Tribunal cantonal, 2023-06-15, FR</w:t>
      </w:r>
    </w:p>
    <w:p>
      <w:r>
        <w:rPr>
          <w:b/>
        </w:rPr>
        <w:t xml:space="preserve">Quelle: </w:t>
      </w:r>
      <w:r>
        <w:t>https://mcp.opencaselaw.ch/entscheid/vd_findinfo_HC___2023___374</w:t>
      </w:r>
    </w:p>
    <w:p>
      <w:r>
        <w:t>FR: VD_FINDINFO HC / 2023 / 374 du 15 juin 2023</w:t>
      </w:r>
    </w:p>
    <w:p>
      <w:r>
        <w:t>IT: VD_FINDINFO HC / 2023 / 374 del 15 giugno 2023</w:t>
      </w:r>
    </w:p>
    <w:p>
      <w:pPr>
        <w:pStyle w:val="Heading2"/>
      </w:pPr>
      <w:r>
        <w:t>Regeste</w:t>
      </w:r>
    </w:p>
    <w:p>
      <w:r>
        <w:t>MESURE D'ÉLOIGNEMENT{EN GÉNÉRAL}, PROTECTION DE LA PERSONNALITÉ | 28 CC, 28b al. 1 CC, 292 CP</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w:t>
      </w:r>
    </w:p>
    <w:p>
      <w:r>
        <w:rPr>
          <w:b/>
        </w:rPr>
        <w:t>E. 1.2</w:t>
      </w:r>
    </w:p>
    <w:p>
      <w:r>
        <w:t>En l’espèce, l'appel a pour seul objet les interdictions de périmètre et de contact ordonnées contre l’appelant en faveur de son épouse. Formé en temps utile par une partie qui y a intérêt (art. 59 al. 2 let. a CPC) et portant sur des conclusions non patrimoniales, l'appel est recevable.</w:t>
      </w:r>
    </w:p>
    <w:p>
      <w:r>
        <w:rPr>
          <w:b/>
        </w:rPr>
        <w:t>E. 2</w:t>
      </w:r>
    </w:p>
    <w:p>
      <w:r>
        <w:t>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 nn. 2 ss ad art. 310 CPC). Elle peut revoir librement l'appréciation des preuves effectuée par le juge de première instance (art. 157 CPC en relation avec l'art. 310 let. c CPC) et vérifie si celui-ci pouvait admettre les faits qu'il a retenus (ATF 138 III 374 consid. 4.3.1 ; TF 5A_340/2021 du 16 novembre 2021 consid. 5.3.1 ; TF 4A_215/2017 du 15 janvier 2019 consid. 3.4). Le large pouvoir d'examen en fait et en droit ainsi défini s'applique même si la décision attaquée est de nature provisionnelle (JdT 2011 Ill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 citées), ce qui exclut les mesures d'instruction plus étendues (TF 5A_683/2021 du 3 mai 2022 consid. 4.2). Un fait est rendu vraisemblable si le juge, en se basant sur des éléments objectifs, a l'impression que le fait invoqué est rendu probable, sans pour autant devoir exclure la possibilité qu'il ait pu se dérouler autrement (ATF 144 II 65 consid. 4.2.2 ; ATF 142 II 49 consid. 6.2 ; ATF 140 III 610 consid. 4.1 ; TF 5A_906/2020 du 9 juillet 2021 consid. 5.2). De simples allégations de partie – fussent-elles même plausibles – ne suffisent pas à prouver un fait, à moins qu'elles ne soient corroborées par des pièces qui accréditent la thèse soutenue (TF 5A_17/2022 du 4 août 2022 consid. 5.3.2 ; TF 5A_723/2012 du 21 novembre 2012 consid. 4.2.1 ; TF 5A_811/2012 du 18 février 2013 consid. 4.2.1). Le point de savoir si le degré de vraisemblance requis par le droit fédéral est atteint dans le cas particulier ressortit à l'appréciation des preuves (ATF 130 III 321 consid. 5 ; TF 5A_855/2017 du 11 avril 2018 consid 4.3.2).</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On distingue à cet égard les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3.2.1</w:t>
      </w:r>
    </w:p>
    <w:p>
      <w:r>
        <w:t>En l’espèce, le 25 mai 2023, l’appelant a produit trois nouvelles pièces, à savoir les courriers qu’il avait adressés au ministère public le 10 mars 2023, au conseil de son épouse le 29 mars 2023 et à la présidente le 21 mai 2023. Elles correspondent à de vrais novas , établies postérieurement à la décision entreprise ainsi qu’à l’appel du 20 février 2023, et sont ainsi recevables. S’agissant de la pièce datée du 25 mai 2023 produite par l’appelant durant l’audience du 30 mai 2023, il s’agit d’un témoignage écrit – à savoir celui de W.________ –, tel que le relève à juste titre l’intimée. Dès lors qu’un tel moyen de preuve n’est pas admis par le CPC, celui-ci ne figurant pas dans la liste exhaustive de l'art. 168 CPC (TF 5A_117/2015 du 5 novembre 2015 consid. 2.4.2 ; CACI</w:t>
      </w:r>
    </w:p>
    <w:p>
      <w:r>
        <w:rPr>
          <w:b/>
        </w:rPr>
        <w:t>E. 3.2.2</w:t>
      </w:r>
    </w:p>
    <w:p>
      <w:r>
        <w:t>Au cours de l’audience précitée, l’appelant a également spontanément déposé des déterminations supplémentaires. Or, cette écriture ne saurait être prise en compte, dans la mesure où, en l’occurrence, le juge unique ne l’a pas ordonnée (art. 316 al. 2 CPC) et qu’il n’existe pas de droit à un second échange d’écritures, celui-ci étant d’ailleurs pratiquement exclu en procédure sommaire (ATF 138 III 252 consid. 2 ; TF 5A_391/2020 du 2 décembre 2020 consid. 3.2). Au demeurant, l’appelant ne se trouve pas dans l’hypothèse où il aurait eu le droit de répliquer spontanément sur une nouvelle écriture de la partie adverse (ATF 144 III 117 consid. 2.1 ; ATF 142 III 48 consid. 4.1.1 et les réf. citées ; TF 5A_964/2019 du 15 janvier 2020 consid. 3.1.2 et 3.1.3, RSPC 2020 p. 241).</w:t>
      </w:r>
    </w:p>
    <w:p>
      <w:r>
        <w:rPr>
          <w:b/>
        </w:rPr>
        <w:t>E. 3.2.3</w:t>
      </w:r>
    </w:p>
    <w:p>
      <w:r>
        <w:t>Pour sa part, l’intimée a produit, durant ladite audience, un bordereau de pièces, contenant un avis de prochaine clôture d’instruction du 12 mai 2023 du ministère public, des procès-verbaux d’auditions du 28 avril 2023 de T.________ et P.________, entendus en qualité de témoin dans la procédure pénale, et un rapport d’évaluation établi le 13 avril 2023 par l’UEMS. Il s’agit de vrais novas , ces documents ayant été établis après la décision entreprise ; ils sont ainsi recevables en procédure d’appel. Les éléments de fait qu’ils contiennent ont été intégrés au fait du présent arrêt dans la mesure de leur pertinence.</w:t>
      </w:r>
    </w:p>
    <w:p>
      <w:r>
        <w:rPr>
          <w:b/>
        </w:rPr>
        <w:t>E. 4</w:t>
      </w:r>
    </w:p>
    <w:p>
      <w:r>
        <w:t>mai 2021/212), il n’y a pas lieu d’en tenir compte.</w:t>
      </w:r>
    </w:p>
    <w:p>
      <w:r>
        <w:rPr>
          <w:b/>
        </w:rPr>
        <w:t>E. 4.1</w:t>
      </w:r>
    </w:p>
    <w:p>
      <w:r>
        <w:t>En substance, l’appelant critique les mesures d’interdiction de périmètre et de contact ordonnées par la présidente et requiert leur suppression.</w:t>
      </w:r>
    </w:p>
    <w:p>
      <w:r>
        <w:rPr>
          <w:b/>
        </w:rPr>
        <w:t>E. 4.2.1</w:t>
      </w:r>
    </w:p>
    <w:p>
      <w:r>
        <w:t>Dans le cadre de la protection de l’union conjugale, l’art. 172 al. 3 CC prévoit qu’au besoin, le juge prend, à la requête d’un époux, les mesures prévues par la loi. La disposition relative à la protection de la personnalité en cas de violence, de menaces ou de harcèlement est applicable par analogie.</w:t>
      </w:r>
    </w:p>
    <w:p>
      <w:r>
        <w:rPr>
          <w:b/>
        </w:rPr>
        <w:t>E. 4.2.2.1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 Juge unique CACI 30 janvier 2023/46 ; CACI 7 décembre 2021/585 ; Jeandin, Commentaire romand, Code Civil I, Bâle 2010, nn. 67ss ad art. 28 CC et les réf. citées).</w:t>
      </w:r>
    </w:p>
    <w:p>
      <w:r>
        <w:rPr>
          <w:b/>
        </w:rPr>
        <w:t>E. 4.2.2.2</w:t>
      </w:r>
    </w:p>
    <w:p>
      <w:r>
        <w:t>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 op. cit. , n. 3 ad  art. 28b CC et les réf. citées). Aux termes de l’art. 28b al. 1 CC,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 menaces ou harcèlement (Jeandin/Peyrot, op. cit. , n. 11 ad art. 28b). Selon la jurisprudence du Tribunal fédéral (TF 5A_377/2009 du 3 septembre 2009 consid. 5.3.1), la « violence » s’entend comme une atteinte directe à l’intégrité physique, psychique, sexuelle ou sociale d’une personne ; cette atteinte doit présenter un certain degré d’intensité, tout comportement socialement incorrect n’étant pas constitutif d’une atteinte à la personnalité. Les « menaces » se rapportent à des situations où des atteintes à la personnalité qui sont à prévoir ; dans ce cas également, il doit s’agir d’une menace sérieuse qui fasse craindre la victime pour son intégrité physique, psychique, sexuelle et sociale. Enfin, le « harcèlement »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(SJ 2011 165). Ces événements doivent engendrer chez la personne une grande peur et survenir de manière répétée (Meier, Droit des personnes, 2 e éd. Bâle 2021, n. 954). Dans tous les cas, l’atteinte doit présenter un certain degré d’intensité (Juge unique CACI 30 janvier 2023/46 ; CACI du 17 janvier 2022/22 ; CACI du 7 décembre 2021/585 ; CACI du 30 novembre 2016/1083 ; CACI du 27 novembre 2015/1013 ; Jeandin/Peyrot, op. cit. , nn. 12 à 14 ad art. 28b CC ; rapport de la Commission des affaires juridiques du Conseil national, Initiative parlementaire, Protection contre la violence dans la famille et dans le couple, FF 2005 pp. 6437ss, p. 6449-6450).</w:t>
      </w:r>
    </w:p>
    <w:p>
      <w:r>
        <w:rPr>
          <w:b/>
        </w:rPr>
        <w:t>E. 4.2.2.3</w:t>
      </w:r>
    </w:p>
    <w:p>
      <w:r>
        <w:t>Le juge qui prononce les mesures d'éloignement prévues par l'art. 28b al. 1 CC doit respecter le principe de proportionnalité dès lors que celles-ci restreignent les droits fondamentaux de l'auteur de l'atteinte (art. 5 al. 2 et art. 36 al. 3 Cst. [Constitution fédérale de la Confédération suisse du 18 avril 1999 ; RS 10]). Cela signifie que ces mesures doivent être adéquates, nécessaires et adaptées au cas concret. Le juge doit ainsi ordonner des mesures suffisamment efficaces pour la personne lésée et les moins radicales possible pour l'auteur de l'atteinte (ATF 144 III 257 consid. 4.1 et les réf. citées). Le principe de proportionnalité vaut aussi pour la durée des mesures. L'art. 28b CC ne prévoit pas de limite temporelle aux mesures d'éloignement. Il appartient au juge, dans le cadre de l'exercice diligent de son pouvoir discrétionnaire, d'en limiter ou non la durée (ATF 144 III 257 consid. 4.3.3 et les réf. doctrinales ; TF 5A_192/2021 du 18 novembre 2021 consid. 6.1 ; CACI 7 décembre 2021/585 ; Jeandin/Peyrot, op. cit. , n. 17 ad art. 28b).</w:t>
      </w:r>
    </w:p>
    <w:p>
      <w:r>
        <w:rPr>
          <w:b/>
        </w:rPr>
        <w:t>E. 4.2.2.4</w:t>
      </w:r>
    </w:p>
    <w:p>
      <w:r>
        <w:t>Les mesures de protection selon l’art. 28b CC peuvent être prises sous la menace de la peine d’amende de l’art. 292 CP (Meier, op. cit. , n. 6 ad art. 28b CC). Cette disposition vise à protéger les fondements juridiques de l'injonction faite par l'autorité, et constitue un moyen d'exécution forcée qui permet d'exercer une certaine pression sur le destinataire d'une injonction de l'autorité, afin qu'il s'y conforme (Dupuis/Geller/Monnier/Moreillon/Piguet/Bettex/Stoll, Petit commentaire, Code pénal, Bâle 2017, n. 3 ad art. 292). Le montant maximum de l'amende est de 10'000 fr. (art. 106 al. 1 CP). Cette amende revêt un caractère pénal et est prononcée par une autorité pénale. Plus que l'amende elle-même, c'est – en principe – bien la perspective d'une condamnation pénale qui ébranle le débiteur récalcitrant et l'amène à s'exécuter (Jeandin, Commentaire romand, Code de procédure civile, op. cit. , n. 11 ad art. 343 CPC).</w:t>
      </w:r>
    </w:p>
    <w:p>
      <w:r>
        <w:rPr>
          <w:b/>
        </w:rPr>
        <w:t>E. 4.3.1</w:t>
      </w:r>
    </w:p>
    <w:p>
      <w:r>
        <w:t>En l’occurrence, l’appelant fait principalement valoir que les allégations de l’intimée ne seraient pas étayées et constitueraient de simples déclarations de partie ; ainsi, elle n’aurait pas rendu vraisemblable les atteintes à sa personnalité. En particulier, l’appelant se prévaut de ce que les messages mentionnés par la présidente dans l’ordonnance litigieuse n’étaient pas datés et étaient présentés de manière isolée, sans que le fil de la conversation ne soit précisé.</w:t>
      </w:r>
    </w:p>
    <w:p>
      <w:r>
        <w:rPr>
          <w:b/>
        </w:rPr>
        <w:t>E. 4.3.2</w:t>
      </w:r>
    </w:p>
    <w:p>
      <w:r>
        <w:t>On peut se demander si les déclarations des parties effectuées au cours de l’audience du 19 décembre 2022 et les messages envoyés par l’appelant étaient suffisants, au stade de la vraisemblance, pour permettre à la présidente de prononcer des mesures d’interdiction en application de l’art. 28b CC, étant néanmoins précisé qu’il transparaît, à tout le moins, des messages précités que l’appelant reproche avec véhémence à l’intimée la manière dont elle prend en charge les enfants lorsque ceux-ci se trouvent auprès d’elle. Cette question peut toutefois demeurer ouverte en l’espèce. En effet, dans le cadre de la procédure d’appel, l’intimée a produit plusieurs pièces nouvelles (cf. consid. 3.2.3 supra ), dont il ressort que l’appelant exerce très vraisemblablement une surveillance sur son épouse constitutive, a minima , de harcèlement au sens de l’art. 28b al. 1 CC. En particulier, lors de leurs auditions respectives du 28 avril 2023, les témoins T.________ et P.________ ont tous deux décrit des comportements alarmants de la part de l’appelant depuis la séparation des parties durant l’été 2022, soit le fait que celui-ci suivait l’intimée (notamment sur son lieu de travail, sur le parking de son lieu de travail, sur la route ou lorsqu’elle partageait des moments privés avec ses proches), les enfants se retrouvant parfois impliqués dans ces situations, et que celui-ci s’imposait de manière inopinée dans la vie de l’intimée, apparaissant en des endroits où celle-ci se trouvait alors qu’il n’était pas censé le savoir. De même, T.________ a fait état de ce que l’appelant l’aurait filmé et aurait pris des photos de l’intimée. Les deux témoins ont également signalé que l’appelant avait tenu des propos dégradants et adoptés des attitudes intimidantes et menaçantes à l’endroit de l’intimée, des altercations physiques ayant par ailleurs été rapportées. S’il est légitime de se questionner sur la valeur probante de ces témoignages, en raison du fait que T.________ est le nouveau compagnon de l’intimée et que P.________ est une amie de celle-ci, plusieurs éléments autorisent – voire imposent – de ne pas s’en écarter à ce stade du litige et au vu de l’examen des faits limité à la simple vraisemblance. En effet, les précités ont témoigné en pleine connaissance des conséquences d’un faux témoignage (art. 307 CP), lesquelles leur ont été dûment rappelées. Par ailleurs, P.________ était une amie du couple depuis une dizaine d’années, et non pas uniquement de l’intimée. Plus encore, les témoignages sont concordants entre eux et avec des pièces au dossier, notamment avec les constatations contenues dans le rapport d’évaluation du 13 avril 2023 de l’UEMS. Finalement, il est relevé, à toutes fins utiles et sans préjuger de l’issue de la procédure pénale, que le ministère public a rendu, le 12 mai 2023, un avis de prochaine clôture, dans lequel il a informé les parties entendre rendre une décision de mise en accusation à l’encontre de l’appelant pour voies de fait qualifiées, lésions corporelles simples qualifiées, injure, violation du domaine secret et du domaine privé au moyen d'un appareil de prise de vues, menaces qualifiées, contrainte et insoumission à une décision de l'autorité notamment. Plus importantes encore sont les conclusions du 13 avril 2023 de l’UEMS, laquelle a singulièrement constaté que l’appelant paraissait « obnubilé par le conflit avec son épouse » ; que les enfants avaient indiqué « voir leur père roder près du domicile maternel sur des temps ne relevant pas de son droit de garde » ; que tous les professionnels étant intervenus auprès des parties avaient émis des inquiétudes importantes concernant le suivi des enfants, compte tenu du comportement de l’appelant envers l’intimée ; qu’il y avait « un contexte d'emprise » de la part de l’appelant ainsi que l'existence de harcèlements et d’un climat de menaces inacceptables ; et que le réseau redoutait un risque important de péjoration de la situation des enfants et de l’intimée. En définitive, l’UEMS a considéré que les enfants auraient été également victimes de la « violence psychologique » qui subsistait au sein du couple et que de « nombreuses pressions » restaient présentes envers l’intimée et les enfants. Ainsi, bien que le rapport d’évaluation du 13 avril 2023 ait pour but d’éclaircir la situation relative aux enfants G.________ et R.________, il apporte également des informations déterminantes sur le conflit conjugal et confirme que l’intimée est très vraisemblablement victime d’atteintes illicites à sa personnalité. Finalement, il est relevé que c’est à tort que l’appelant se prévaut de ce que les messages échangés avec l’intimée – dont il admet que le ton n’était pas « nécessairement approprié » et qu’ils étaient « tout au plus socialement déplacés et émotionnellement excessifs » – et les prises de contact avec celle-ci portaient essentiellement sur le sort des enfants, et que ces échanges étaient autorisés selon la convention du 29 août 2022. En effet, il ressort à juste titre de l’ordonnance entreprise que l’appelant utilise ses enfants comme prétexte pour surveiller l’intimée et qu’il la critique notamment sur la manière de gérer son temps lorsque ses enfants sont auprès d’elle. Il ne saurait dès lors se prévaloir de ce que la convention permette des contacts s’agissant du sort des enfants pour en abuser et, ce faisant, en profiter pour importuner l’intimée. Il découle de ce qui précède que, nonobstant le fait pour l’appelant de ne pas avoir respecté les termes de la convention du 29 août 2022 – par laquelle les parties s’étaient engagées, sous réserve de l’exercice du droit de garde, d’une part, à ne pas s’approcher à moins de 100 mètres de l’autre, de son domicile ou de son lieu de travail, et, d’autre part, à ne pas se contacter, sous réserve des aspects relatifs aux enfants uniquement –, l’intimée a vraisemblablement été victime d'atteintes illicites à sa personnalité du fait de l’appelant . Il se justifiait dès lors d’ordonner des mesures de protection au sens de l’art. 28b al. 1 CC.</w:t>
      </w:r>
    </w:p>
    <w:p>
      <w:r>
        <w:rPr>
          <w:b/>
        </w:rPr>
        <w:t>E. 4.4</w:t>
      </w:r>
    </w:p>
    <w:p>
      <w:r>
        <w:t>Subsidiairement, l’appelant argue que les mesures d’interdiction prononcées seraient disproportionnées. Cela étant, il convient de confirmer intégralement la décision entreprise sur ce point et d'interdire à l'appelant d’approcher l’intimée à moins de 100 mètres, où qu'elle se trouve, de s'approcher à moins 100 mètres de son domicile, respectivement de son lieu de travail, et de prendre contact avec elle, sous la stricte réserve des urgences relatives aux enfants, le tout sous la commination de la peine d’amende prévue par l’art. 292 CP. Tel que l’a, à juste titre, retenu la première juge, ces mesures sont en effet proportionnées et adéquates, eu égard à la nature des comportements adoptés par l’appelant et à leur intensité, ainsi qu’au besoin de protection de l’intimée. De surcroît, lesdites mesures peuvent être appliquées sans difficultés trop importantes, dans la mesure où chacun des parents récupère les enfants à la sortie de l'école lorsque sa semaine de garde débute, et qu'ils ne sont ainsi pas amenés à se croiser. Durant les vacances, un système d’échange n’impliquant pas de rencontre directe entre les parents est par ailleurs tout à fait envisageable, étant rappelé que G.________ est âgé de 14 ans et R.________ de presque 11 ans. Le bien-être des enfants n’est ainsi pas compromis. C’est par ailleurs en vain que l’appelant tente de faire valoir que le logement de l’intimée se trouverait au centre de la localité de [...] et que, partant, l’interdiction d’approcher l’empêcherait de traverser et de se rendre dans cette localité, qui est voisine du village dans lequel il est lui-même domicilié, de sorte qu’il serait entravé excessivement dans sa liberté de mouvement. L’appelant n’expose en effet pas en quoi le fait de ne pas pouvoir aller ou passer par le village de [...] lui causerait un quelconque préjudice, respectivement primerait sur le besoin de protection de l’intimée.</w:t>
      </w:r>
    </w:p>
    <w:p>
      <w:r>
        <w:rPr>
          <w:b/>
        </w:rPr>
        <w:t>E. 4.5</w:t>
      </w:r>
    </w:p>
    <w:p>
      <w:r>
        <w:t>Par conséquent, c’est à bon droit que la présidente a prononcé les mesures d’interdiction susmentionnées (cf. consid. 4.4 supra ) à l’encontre de l’appelant en application de l’art. 28b al. 1 CC.</w:t>
      </w:r>
    </w:p>
    <w:p>
      <w:r>
        <w:rPr>
          <w:b/>
        </w:rPr>
        <w:t>E. 5.1</w:t>
      </w:r>
    </w:p>
    <w:p>
      <w:r>
        <w:t>En définitive, l'appel doit être rejeté, dans la mesure où il est recevable, et l’ordonnance entreprise confirmée.</w:t>
      </w:r>
    </w:p>
    <w:p>
      <w:r>
        <w:rPr>
          <w:b/>
        </w:rPr>
        <w:t>E. 5.2</w:t>
      </w:r>
    </w:p>
    <w:p>
      <w:r>
        <w:t>Au vu de l’issue du litige, les frais judiciaires de deuxième instance, arrêtés à 600 fr. (65 al. 2 TFJC [tarif des frais judiciaires civils du 28 septembre 2010 ; BLV 270.11.5]), sont mis à la charge de l’appelant, qui succombe (art. 106 al. 1 CPC).</w:t>
      </w:r>
    </w:p>
    <w:p>
      <w:r>
        <w:rPr>
          <w:b/>
        </w:rPr>
        <w:t>E. 5.3</w:t>
      </w:r>
    </w:p>
    <w:p>
      <w:r>
        <w:t>Vu le sort de l’appel, l’intimée a droit à de pleins dépens, qui peuvent être fixés à 1’000 fr. (art. 3 al. 4 et 9 al. 2 TDC [tarif des dépens en matière civile du 23 novembre 2010 ; BLV 270.11.6]), eu égard à l'importance et la difficulté de la cause, ainsi qu’au travail effectué, étant relevé que l’intimée n’a pas été invitée à se déterminer. Au demeurant, il n’y a pas lieu de condamner l’intimée a versé à l’appelant un montant de 1'500 fr. à titre de dépens de première instance, la décision litigieuse étant entièrement confirmée. Par ces motifs, le Juge unique de la Cour d’appel civile prononce : I. L’appel est rejeté. II. L’ordonnance est confirmée. III. Les frais judiciaires de deuxième instance, arrêtés à 600 fr. (six cents francs), sont mis à la charge de l’appelant A.D.________. IV. L’appelant A.D.________ versera à l’intimée B.D.________ la somme de 1’000 fr. (mille francs) à titre de dépens de deuxième instance. Le juge unique :               La greffière : Du Le présent arrêt, dont la rédaction a été approuvée à huis clos, est notifié en expédition complète à : ‑ A.D.________, ‑ Me Quentin Beausire (pour B.D.________),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