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364 vom 1. Mai 2023</w:t>
      </w:r>
    </w:p>
    <w:p>
      <w:r>
        <w:t>VD Tribunal cantonal, 2023-05-01, FR</w:t>
      </w:r>
    </w:p>
    <w:p>
      <w:r>
        <w:rPr>
          <w:b/>
        </w:rPr>
        <w:t xml:space="preserve">Quelle: </w:t>
      </w:r>
      <w:r>
        <w:t>https://mcp.opencaselaw.ch/entscheid/vd_findinfo_HC___2023___364</w:t>
      </w:r>
    </w:p>
    <w:p>
      <w:r>
        <w:t>FR: VD_FINDINFO HC / 2023 / 364 du 1 mai 2023</w:t>
      </w:r>
    </w:p>
    <w:p>
      <w:r>
        <w:t>IT: VD_FINDINFO HC / 2023 / 364 del 1 maggio 2023</w:t>
      </w:r>
    </w:p>
    <w:p>
      <w:pPr>
        <w:pStyle w:val="Heading2"/>
      </w:pPr>
      <w:r>
        <w:t>Regeste</w:t>
      </w:r>
    </w:p>
    <w:p>
      <w:r>
        <w:t>DROIT D'ÊTRE ENTENDU, MOTIVATION DE LA DÉCISION, REJET DE LA DEMANDE | 29 al. 2 Cst., 53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L'art. 184 al. 3 CPC prévoit que la décision relative à la rémunération de l'expert peut faire l'objet d'un recours. Cette décision compte parmi les « autres décisions » visées par l'art. 319 let. b CPC (Jeandin, in Bohnet et al., Commentaire romand, Code de procédure civile, 2 e éd., Bâle 2019, n. 15 ad art. 319 CPC), lesquelles sont soumises au délai de recours applicable à la procédure au fond (Jeandin, op. cit., n. 10 ad art. 321 CPC), soit trente jours en procédures ordinaire et simplifiée (art. 321 al. 1 CPC). Le recours, écrit et motivé, doit être introduit auprès de l'instance de recours, soit la Chambre des recours civile (art. 73 LOJV [Loi d'organisation judiciaire du 12 décembre 1979 ; BLV 173.01]).</w:t>
      </w:r>
    </w:p>
    <w:p>
      <w:r>
        <w:rPr>
          <w:b/>
        </w:rPr>
        <w:t>E. 1.2</w:t>
      </w:r>
    </w:p>
    <w:p>
      <w:r>
        <w:t>En l'espèce, la recourante prend des conclusions principales en annulation et des conclusions subsidiaires en réforme. Les conclusions subsidiaires sont irrecevables, car elles ne portent pas sur la rémunération de l'expert selon la voie de recours ouverte par l'art. 184 al. 3 CPC et elles sont nouvelles. Malgré le fait que seules ses conclusions en annulation sont formulées valablement, on doit admettre que le recours est recevable, car le seul grief soulevé dans l'acte de recours est la violation du droit d'être entendu. Formé au surplus en temps utile par une partie qui a un intérêt digne de protection (art. 59 al. 2 let. a CPC), le recours est recevable.</w:t>
      </w:r>
    </w:p>
    <w:p>
      <w:r>
        <w:rPr>
          <w:b/>
        </w:rPr>
        <w:t>E. 2</w:t>
      </w:r>
    </w:p>
    <w:p>
      <w:r>
        <w:t>Sous l’angle des motifs, le recours est recevable pour violation du droit (art. 320 let. a CPC) et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3.1</w:t>
      </w:r>
    </w:p>
    <w:p>
      <w:r>
        <w:t>La recourante soutient que le prononcé attaqué comporterait une motivation insuffisante, car l'experte avait refusé de fournir un décompte détaillé de ses opérations et le premier juge aurait ainsi constaté à tort que les honoraires de celle-ci étaient justifiés.</w:t>
      </w:r>
    </w:p>
    <w:p>
      <w:r>
        <w:rPr>
          <w:b/>
        </w:rPr>
        <w:t>E. 3.2</w:t>
      </w:r>
    </w:p>
    <w:p>
      <w:r>
        <w:t>Le droit d’être entendu est une garantie constitutionnelle (art. 29 al. 2 Cst.) de nature formelle, dont la violation entraîne en principe l’annulation de la décision attaquée sans égard aux chances de succès du recours sur le fond (ATF 142 II 218 consid. 2.8.1 ; ATF 127 V 431 consid. 3d/aa ; TF 1C_470/2019 du 31 janvier 2020 consid. 4.1.1). Ce moyen doit par conséquent être examiné en premier lieu (ATF 141 V 557 consid. 3 ; ATF 137 I 195 consid. 2.2) et avec un plein pouvoir d’examen (ATF 135 I 279 consid. 2.2 ; ATF 127 III 193 consid. 3 ; TF 8C_119/220 du 26 novembre 2020 consid. 4.2).En procédure civile, le droit d'être entendu est concrétisé à l'art. 53 CPC.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143 III 65 consid. 5.2; 139 IV 179 consid. 2.2), de manière à ce que l'intéressé puisse se rendre compte de la portée de celle-ci et l'attaquer en connaissance de cause (ATF 143 IV 40 consid. 3.4.3; 141 IV 249 consid. 1.3.1; 139 IV 179 consid. 2.2). Il n'a toutefois pas l'obligation d'exposer et de discuter tous les faits, moyens de preuve et griefs invoqués par les parties, mais peut se limiter à l'examen des questions décisives pour l'issue du litige (ATF 147 IV 249 consid. 2.4; 142 II 154 consid. 4.2; 139 IV 179 consid. 2.2). La motivation peut d'ailleurs être implicite et résulter des différents considérants de la décision (ATF 141 V 557 consid. 3.2.1 ; pour le tout TF 6B_468/2022 du 12 janvier 2023, consid. 1.1). Doit être annulée pour violation du droit d'être entendu la décision qui omet de donner la moindre motivation, même brève et sommaire, concernant les raisons ayant incité à écarter les objections de la partie sur le montant de la note de l'expert (CREC 28 mai 2021/159 ; CREC 6 octobre 2011/183).</w:t>
      </w:r>
    </w:p>
    <w:p>
      <w:r>
        <w:rPr>
          <w:b/>
        </w:rPr>
        <w:t>E. 3.3</w:t>
      </w:r>
    </w:p>
    <w:p>
      <w:r>
        <w:t>Le premier juge a relevé que l'experte avait répondu de manière claire et circonstanciée à l'intégralité des allégués soumis à l'expertise et que son rapport, rédigé en langue espagnole, avait fait l'objet d'une traduction officielle en français. Il a ensuite considéré que le montant des honoraires de l'experte ne paraissait pas excessif au vu du rapport d'expertise déposé, cela d'autant qu'ils étaient inférieurs à l'avance demandée. Cette motivation est manifestement suffisante, au regard de la jurisprudence, pour justifier la décision du premier juge. Lorsque la recourante affirme que la qualité du travail de l'experte est insuffisante ou que les honoraires seraient excessifs, elle ne fait qu'opposer vainement sa propre appréciation à celle du premier juge. Quant aux frais de traduction, on comprend qu'ils se rapportent à ceux de la traduction du rapport rédigé originellement en espagnol. Enfin, la recourante perd de vue, sous l'angle du grief allégué, que des explications éventuellement lacunaires de l'experte sur le détail des opérations effectuées, n'empêchaient pas le premier juge de se forger une opinion sur la qualité du travail fourni par celle-ci et sur le caractère raisonnable des honoraires. Partant, on ne discerne aucune violation du droit d'être entendu.</w:t>
      </w:r>
    </w:p>
    <w:p>
      <w:r>
        <w:rPr>
          <w:b/>
        </w:rPr>
        <w:t>E. 4.1</w:t>
      </w:r>
    </w:p>
    <w:p>
      <w:r>
        <w:t>Au vu de ce qui précède, le recours doit être rejeté. En définitive, le recours, manifestement infondé, doit être rejeté selon l’art. 322 al. 1 in fine CPC et la décision entreprise confirmée.</w:t>
      </w:r>
    </w:p>
    <w:p>
      <w:r>
        <w:rPr>
          <w:b/>
        </w:rPr>
        <w:t>E. 4.2</w:t>
      </w:r>
    </w:p>
    <w:p>
      <w:r>
        <w:t>Les frais judiciaires de deuxième instance, arrêtés à 100 fr. (art. 69 al. 1 et 70 al. 2 TFJC [tarif des frais judiciaires civils du 28 septembre 2010 ; BLV 270.11.5]), seront mis à la charge de la recourante, qui succombe (art. 106 al. 1 CPC). Les intimées et l’experte n’ayant pas été invitées à se déterminer, il n’y a pas lieu à l’allocation de dépens de deuxième instance. Par ces motifs, la Chambre des recours civile du Tribunal cantonal, prononce : I. Le recours est rejeté. II. Le prononcé est confirmé. III. Les frais judiciaires de deuxième instance, arrêtés à 100 fr. (cent francs) sont mis à la charge de la recourante A.U.________. IV. L'arrêt est exécutoire. La présidente :               La greffière : Du L'arrêt qui précède, dont la rédaction a été approuvée à huis clos, est notifié à : ‑ Me Lorraine Ruf (pour A.U.________), ‑ Me François Roux (pour Y.________ et E.________), - B.U.________, -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