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340 vom 1. Mai 2023</w:t>
      </w:r>
    </w:p>
    <w:p>
      <w:r>
        <w:t>VD Tribunal cantonal, 2023-05-01, FR</w:t>
      </w:r>
    </w:p>
    <w:p>
      <w:r>
        <w:rPr>
          <w:b/>
        </w:rPr>
        <w:t xml:space="preserve">Quelle: </w:t>
      </w:r>
      <w:r>
        <w:t>https://mcp.opencaselaw.ch/entscheid/vd_findinfo_HC___2023___340</w:t>
      </w:r>
    </w:p>
    <w:p>
      <w:r>
        <w:t>FR: VD_FINDINFO HC / 2023 / 340 du 1 mai 2023</w:t>
      </w:r>
    </w:p>
    <w:p>
      <w:r>
        <w:t>IT: VD_FINDINFO HC / 2023 / 340 del 1 maggio 2023</w:t>
      </w:r>
    </w:p>
    <w:p>
      <w:pPr>
        <w:pStyle w:val="Heading2"/>
      </w:pPr>
      <w:r>
        <w:t>Regeste</w:t>
      </w:r>
    </w:p>
    <w:p>
      <w:r>
        <w:t>DÉCISION D'IRRECEVABILITÉ, DOMMAGE IRRÉPARABLE, NOVA | 319 let. b ch. 2 CPC (CH)</w:t>
      </w:r>
    </w:p>
    <w:p>
      <w:pPr>
        <w:pStyle w:val="Heading2"/>
      </w:pPr>
      <w:r>
        <w:t>Erwägungen</w:t>
      </w:r>
    </w:p>
    <w:p>
      <w:r>
        <w:rPr>
          <w:b/>
        </w:rPr>
        <w:t>E. 1.1</w:t>
      </w:r>
    </w:p>
    <w:p>
      <w:r>
        <w:t>Aux termes de l’art. 319 let. b CPC (Code de procédure civile du 19 décembre 2008 ; RS 272), la voie du recours est ouverte contre les décisions autres que celles mentionnées à la let. a de cette disposition, ainsi que contre les ordonnances d’instruction de première instance dans les cas prévus par la loi ou lorsqu’elles peuvent causer un préjudice difficilement réparable. Le délai de recours est de dix jours pour les ordonnances d’instruction (art. 321 al. 1 et 2 CPC).</w:t>
      </w:r>
    </w:p>
    <w:p>
      <w:r>
        <w:rPr>
          <w:b/>
        </w:rPr>
        <w:t>E. 1.2</w:t>
      </w:r>
    </w:p>
    <w:p>
      <w:r>
        <w:t>En l’espèce, le recours a été déposé en temps utile par une partie au bénéfice d’un intérêt digne de protection (art. 59 al. 2 let. a CPC).</w:t>
      </w:r>
    </w:p>
    <w:p>
      <w:r>
        <w:rPr>
          <w:b/>
        </w:rPr>
        <w:t>E. 2.1.1</w:t>
      </w:r>
    </w:p>
    <w:p>
      <w:r>
        <w:t>Le recours contre une décision statuant sur l’admission de faits ou moyens de preuves nouveaux (art. 229 CPC) n’étant pas expressément prévu par le CPC, il n’est recevable que si ladite décision est susceptible de causer un préjudice difficilement réparable au recourant (cf. art. 319 let. b ch. 2 CPC).</w:t>
      </w:r>
    </w:p>
    <w:p>
      <w:r>
        <w:rPr>
          <w:b/>
        </w:rPr>
        <w:t>E. 2.1.2</w:t>
      </w:r>
    </w:p>
    <w:p>
      <w:r>
        <w:t>La notion de préjudice difficilement réparable est plus large que celle de dommage irréparable de l’art. 93 al. 1 let. a LTF (loi du 17 juin 2005 sur le Tribunal fédéral ; RS 173.110 ; TF 4A_466/2019 du 6 janvier 2020 consid. 8 ; TF 5A_92/2015 du 2 mars 2015 consid. 3.2.2 et les réf. citées), puisqu’elle vise non seulement un inconvénient de nature juridique, mais aussi les désavantages de fait (CREC 13 mars 2023/59 ; Jeandin, in Bohnet et al., Commentaire romand, Code de procédure civile, 2 e éd., Bâle 2019,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Il y a lieu de se montrer exigeant, voire restrictif, avant d’admettre la réalisation de cette condition, sous peine d’ouvrir le recours contre toute décision ou ordonnance d’instruction, ce que le législateur a clairement exclu (CREC 10 mai 2023/97 ; CREC 7 octobre 2020/250 ; Jeandin, loc. cit.). En outre, un préjudice irréparable de nature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(CREC 23 mars 2023/64 ; CREC 22 juin 2021/178).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8 août 2022/180 ; CREC 9 avril 2020/92 ; CREC 23 août 2017/316). Est en principe également irrecevable le recours contre la décision d’admission ou de rejet de faits et moyens de preuve nouveaux au sens de l’art. 229 CPC, qui ne provoque généralement pas de risque de dommage difficilement réparable, la partie conservant tous ses moyens au fond et pouvant remettre en cause la décision finale en invoquant une violation de l’art. 229 CPC (CREC 6 février 2023/22 ; CREC 13 novembre 2019/307). Des exceptions existent lorsqu'est refusé un moyen de preuve qui risque de disparaître ou lorsque l'ordonnance de production met en jeu la sauvegarde d'un secret, sans que le tribunal n’ait pris les mesures aptes à les protéger ou est assortie de la menace des sanctions prévues à l'art. 292 CP (TF 4A_274/2021 du 6 octobre 2021 consid. 1.2 ; TF 4A_559/2017 du 20 novembre 2017 consid. 3.1 ; CREC 6 février 2023/22).</w:t>
      </w:r>
    </w:p>
    <w:p>
      <w:r>
        <w:rPr>
          <w:b/>
        </w:rPr>
        <w:t>E. 2.2.1</w:t>
      </w:r>
    </w:p>
    <w:p>
      <w:r>
        <w:t>A titre de préjudice difficilement réparable, le recourant invoque que l’intimée, dans sa requête de nova (all. 384), a allégué qu’il se serait approprié l’ancien mobilier d’une valeur de 5'000 fr. de la société [...] après sa faillite. Il expose à cet égard être privé de la possibilité d’expliquer en quoi ces nova « n’[auraient] strictement rien à voir avec la procédure au fond ».</w:t>
      </w:r>
    </w:p>
    <w:p>
      <w:r>
        <w:rPr>
          <w:b/>
        </w:rPr>
        <w:t>E. 2.2.2</w:t>
      </w:r>
    </w:p>
    <w:p>
      <w:r>
        <w:t>En l’espèce, le recourant ne démontre pas en quoi la recevabilité des nova introduits par la partie adverse serait susceptible de lui causer un risque de préjudice difficilement réparable, se contentant d’alléguer que ceux-ci n’auraient « strictement rien à voir avec la procédure au fond ». Une telle motivation ne satisfait manifestement pas aux exigences de motivation qui pèsent sur le recourant (art. 321 al. 1 CPC). Par ailleurs, le président a relevé qu’il n’y avait pas lieu d’aborder la question de la pertinence des allégués 383 à 396 à ce stade et que celle-ci serait, le cas échéant, examinée dans le cadre du jugement au fond. Le recourant conserve ainsi la possibilité de faire valoir ses arguments sur ce point tant dans le cadre de la procédure au fond que lors d’un éventuel appel contre la décision finale. Partant, il n’y a pas lieu de s’écarter de la jurisprudence fédérale précitée qui prévoit que le recours contre une décision d’admission de faits et moyens de preuve nouveaux ne provoque en principe pas de risque de préjudice difficilement réparable.</w:t>
      </w:r>
    </w:p>
    <w:p>
      <w:r>
        <w:rPr>
          <w:b/>
        </w:rPr>
        <w:t>E. 3</w:t>
      </w:r>
    </w:p>
    <w:p>
      <w:r>
        <w:t>En définitive, faute de préjudice difficilement réparable au sens de l’art. 319 let. b ch. 2 CPC, le recours doit être déclaré irrecevable au sens de l'art. 322 al. 1 in fine CPC. Les frais judiciaires de deuxième instance, arrêtés à 200 fr. (art. 69 al. 1 et 70 al. 2, spéc. 2 e phr., TFJC [tarif des frais judiciaires civils du 28 septembre 2010 ; BLV 270.11.5]), sont mis à la charge du recourant, qui succombe (art. 106 al. 1 CPC). Il n’y a pas lieu à l’allocation de dépens de deuxième instance, dès lors que l’intimée n’a pas été invitée à déposer de réponse (art. 322 al. 1 in fine CPC). Par ces motifs, la Chambre des recours civile du Tribunal cantonal, en application de l'art. 322 al. 1 CPC, prononce : I. Le recours est irrecevable. II. Les frais judiciaires de deuxième instance, arrêtés à 200 fr. (deux cents francs), sont mis à la charge du recourant W.________. III. L’arrêt est exécutoire. La présidente :               La greffière : Du L'arrêt qui précède, dont la rédaction a été approuvée à huis clos, est notifié à : ‑ M. W.________ ; ‑ Me Germain Quach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