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338 vom 14. April 2023</w:t>
      </w:r>
    </w:p>
    <w:p>
      <w:r>
        <w:t>VD Tribunal cantonal, 2023-04-14, FR</w:t>
      </w:r>
    </w:p>
    <w:p>
      <w:r>
        <w:rPr>
          <w:b/>
        </w:rPr>
        <w:t xml:space="preserve">Quelle: </w:t>
      </w:r>
      <w:r>
        <w:t>https://mcp.opencaselaw.ch/entscheid/vd_findinfo_HC___2023___338</w:t>
      </w:r>
    </w:p>
    <w:p>
      <w:r>
        <w:t>FR: VD_FINDINFO HC / 2023 / 338 du 14 avril 2023</w:t>
      </w:r>
    </w:p>
    <w:p>
      <w:r>
        <w:t>IT: VD_FINDINFO HC / 2023 / 338 del 14 aprile 2023</w:t>
      </w:r>
    </w:p>
    <w:p>
      <w:pPr>
        <w:pStyle w:val="Heading2"/>
      </w:pPr>
      <w:r>
        <w:t>Regeste</w:t>
      </w:r>
    </w:p>
    <w:p>
      <w:r>
        <w:t>OBLIGATION DE CHIFFRER LES CONCLUSIONS, DÉCISION D'IRRECEVABILITÉ | 321 al. 1 CPC (CH)</w:t>
      </w:r>
    </w:p>
    <w:p>
      <w:pPr>
        <w:pStyle w:val="Heading2"/>
      </w:pPr>
      <w:r>
        <w:t>Volltext</w:t>
      </w:r>
    </w:p>
    <w:p>
      <w:r>
        <w:t>Vaud Tribunal cantonal Chambre des recours civile 14.04.2023 HC / 2023 / 338</w:t>
      </w:r>
    </w:p>
    <w:p>
      <w:r>
        <w:t>OBLIGATION DE CHIFFRER LES CONCLUSIONS, DÉCISION D'IRRECEVABILITÉ | 321 al. 1 CPC (CH)</w:t>
      </w:r>
    </w:p>
    <w:p>
      <w:r>
        <w:t>TRIBUNAL CANTONAL JX22.043467-230467 73 CHAMBRE DES RECOURS CIVILE _________________________________________ Arrêt du 14 avril 2023 __________________ Composition :               Mme CHERPILLOD , présidente MM. Winzap et Pellet, juges Greffière :              Mme Cottier ***** Art. 321 al. 1 CPC Statuant à huis clos sur le recours interjeté par R.________Sàrl , à [...], intimée, contre le prononcé rendu le 13 mars 2023 par la Juge de paix du district de Lausanne dans la cause divisant la recourante d’avec F.________SA , à [...], requérante, la Chambre des recours civile du Tribunal cantonal considère : En fait et en droit : 1. Par prononcé rendu le 13 mars 2023, le Juge de paix du district de Lausanne (ci-après : la juge de paix) a arrêté à 7'870 fr. 35 les frais judiciaires de F.________SA, comprenant 6'944 fr. 50 de frais de déménagement, 522 fr. 35 de frais de serrurier, 103 fr. 50 de frais d’huissier et 300 fr. de frais de procédure (I), a mis les frais à la charge de R.________Sàrl (II), a dit que cette dernière rembourserait à F.________SA ses frais judiciaires, par 7'870 fr. 35, et lui verserait la somme de 420 fr. à titre de dépens, en défraiement de son représentant professionnel (III) et a rayé la cause du rôle (IV). 2. Le 4 avril 2023, R.________Sàrl (ci-après : la recourante) a interjeté recours en concluant « à ce que les montants des frais judiciaires de 522 fr. 35 et de 6'944 fr. 50 soient réduits au montant fixé par l’Autorité de recours ». A l’appui de son recours, elle a allégué que ces frais n’étaient justifiés par aucune pièce et que ces montants étaient au surplus déraisonnables. Elle a également requis l’effet suspensif. 3. 3.1 3.1.1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 ; en matière d’exécution forcée, l’autorité statue en procédure sommaire (art. 339 al. 2 CPC), de sorte que le délai de recours est de dix jours (art. 321 al. 2 CPC). 3.1.2 Le recours doit contenir, sous peine d'irrecevabilité, des conclusions en annulation ou au fond, soit ce que la partie veut que le tribunal lui alloue dans sa décision (CREC 2 mars 2023/51).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consid. 4.2.1 et les réf. citées ; Jeandin, Commentaire romand, Code de procédure civile, 2 e éd., Bâle 2019, n. 5 ad art. 321 CPC). Dès lors, les conclusions doivent être rédigées d'une manière suffisamment précise pour pouvoir être reprises telles quelles dans le dispositif de la décision à rendre (ATF 137 III 617 consid. 4.3 et 4.4 et les réf. citées, rés. in SJ 2012 1373 ; TF 4D_71/2020 du 23 février 2021 consid. 3.1, voir également TF 4A_207/2019 du 17 août 2020 consid. 3.2, non publié in ATF 146 III 413). Il s’ensuit qu’en matière pécuniaire, les conclusions doivent être chiffrées (ATF 137 III 617 consid. 4.3 et 4.4 et les réf. citées, rés. in SJ 2012 I 373 ; TF 4A_260/2022 du 7 mars 2023 consid. 1.2 ; TF 4D_71/2020 du 23 février 2021 consid. 3.1, in Revue suisse de procédure civile [RSPC] 2021 p. 603 note Droese). Il est indispensable qu'à la lecture du mémoire du recourant, l’autorité de recours comprenne clairement ce que veut celui-ci et que, si elle admet le recours, elle soit en mesure de statuer et de lui allouer les conclusions qu'il a formulées, voire un montant inférieur (TF 4A_260/2022 du 7 mars 2023 consid. 1.2 ; TF 4A_85/2015 du 8 septembre 2015 consid. 1.3). Il ne saurait être remédié à des conclusions déficientes par la fixation d'un délai de l’art. 132 CPC, un tel vice n'étant pas d'ordre purement formel et affectant le recours de façon irréparable (ATF 137 III 617 consid. 6.4, JdT 2014 Il 187 ; TF 5A_65/2022 du 16 janvier 2023 consid. 3.5.1). 3.2 En l’espèce, le recours a été interjeté en temps utile contre une décision sujette à recours par une partie au bénéfice d’un intérêt digne de protection (art. 59 al. 2 let. a CPC). Les conclusions du recours ne satisfont toutefois pas aux réquisits jurisprudentiels rappelés ci-dessus, dès lors qu’elles ne peuvent être reprises telles quelles dans le dispositif du présent arrêt. Il incombait au recourant – et non à la Cour de céans – de chiffrer le montant des frais de serrurier et de déménagement dont il estimait devoir s’acquitter. En l’absence de conclusions précises dûment chiffrées, le recours s’avère irrecevable. 4. Au vu de ce qui précède, le recours doit être déclaré irrecevable (art. 322 al. 1 in fine CPC). Vu ce qui précède, la requête d’effet suspensif est sans objet. 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 requête d’effet suspensif est sans objet. III. L’arrêt, rendu sans frais, est exécutoire. La présidente :               La greffière : Du L'arrêt qui précède, dont la rédaction a été approuvée à huis clos, est notifié à : ‑ R.________Sàrl, ‑ Mme Laura Emilia Jaatinen, aab (pour F.________SA).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