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33 vom 30. Januar 2023</w:t>
      </w:r>
    </w:p>
    <w:p>
      <w:r>
        <w:t>VD Tribunal cantonal, 2023-01-30, FR</w:t>
      </w:r>
    </w:p>
    <w:p>
      <w:r>
        <w:rPr>
          <w:b/>
        </w:rPr>
        <w:t xml:space="preserve">Quelle: </w:t>
      </w:r>
      <w:r>
        <w:t>https://mcp.opencaselaw.ch/entscheid/vd_findinfo_HC___2023___33</w:t>
      </w:r>
    </w:p>
    <w:p>
      <w:r>
        <w:t>FR: VD_FINDINFO HC / 2023 / 33 du 30 janvier 2023</w:t>
      </w:r>
    </w:p>
    <w:p>
      <w:r>
        <w:t>IT: VD_FINDINFO HC / 2023 / 33 del 30 gennaio 2023</w:t>
      </w:r>
    </w:p>
    <w:p>
      <w:pPr>
        <w:pStyle w:val="Heading2"/>
      </w:pPr>
      <w:r>
        <w:t>Regeste</w:t>
      </w:r>
    </w:p>
    <w:p>
      <w:r>
        <w:t>MENACE{EN GÉNÉRAL}, PROTECTION DE LA PERSONNALITÉ, REJET DE LA DEMANDE | 28b al. 1 CC, 261 al. 1 CPC (CH)</w:t>
      </w:r>
    </w:p>
    <w:p>
      <w:pPr>
        <w:pStyle w:val="Heading2"/>
      </w:pPr>
      <w:r>
        <w:t>Erwägungen</w:t>
      </w:r>
    </w:p>
    <w:p>
      <w:r>
        <w:rPr>
          <w:b/>
        </w:rPr>
        <w:t>E. 1.1</w:t>
      </w:r>
    </w:p>
    <w:p>
      <w:r>
        <w:t>L'appel est recevable contre les ordonnances de mesures provisionnelles dans les causes non patrimoniales ou dont la valeur litigieuse, au dernier état des conclusions devant l’autorité inférieure, est de 10'000 fr. au moins (art. 308 al. 1 let. b et al. 2 CPC [Code de procédure civile du 19 décembre 2008 ; RS 272]). L’appel doit être déposé dans les dix jours, de même que la réponse (art. 314 al. 1 CPC). Un membre de la Cour d'appel civile statue comme juge unique sur les appels formés contre les décisions sur mesures provisionnelles (art. 84 al. 2 LOJV [loi d'organisation judiciaire du 12 décembre 1979 ; BLV 173.01]).</w:t>
      </w:r>
    </w:p>
    <w:p>
      <w:r>
        <w:rPr>
          <w:b/>
        </w:rPr>
        <w:t>E. 1.2</w:t>
      </w:r>
    </w:p>
    <w:p>
      <w:r>
        <w:t>Interjeté en temps utile par une partie qui a un intérêt digne de protection (art. 59 al. 2 let. a CPC) contre une ordonnance de mesures provisionnelles rendue dans une cause non patrimoniale, l’appel, écrit et motivé,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2.2.1</w:t>
      </w:r>
    </w:p>
    <w:p>
      <w:r>
        <w:t>En appel, la recevabilité de faits nouveaux est exclusivement régie par l’art. 317 al. 1 CPC , même dans les procédures visées par l’ art. 247 al. 2 CPC ( ATF 138 III 625 consid. 2 ; TF 4A_519/2012 du 30 avril 2013 consid. 5) – soit notamment en cas de litiges portant sur de la violence, des menaces ou du harcèlement au sens de l’art. 28b CC –, à l’exception des procédures soumises à la maxime inquisitoire illimitée (cf. not. art. 296 al. 1 CPC ; ATF 144 III 349 consid. 4.2.1).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les réf. citées). Un vrai novum est produit « sans retard » s’il l’est dans un délai de dix jours, respectivement d’une à deux semaines (TF 5A_790/2016 du 9 août 2018 consid. 3.4, FamPra.ch 2018 p. 1031 ; TF 4A_707/2016 du 26 mai 2017 consid. 3.3.2, RSPC 2017 p. 438 ; Colombini, Code de procédure civile, Condensé de la jurisprudence fédérale et vaudoise, 2018, n. 1.7.5 ad art. 317 CPC).</w:t>
      </w:r>
    </w:p>
    <w:p>
      <w:r>
        <w:rPr>
          <w:b/>
        </w:rPr>
        <w:t>E. 2.2.2</w:t>
      </w:r>
    </w:p>
    <w:p>
      <w:r>
        <w:t>En l’espèce, les appelants ont produit, outre des pièces de forme (p. 1 et 8), des pièces nouvelles dont il convient d’examiner la recevabilité. S’agissant des pièces 4 à 6 et 10, soit les correspondances à la LAVI datées respectivement du 15 décembre 2021 et 31 mars 2022, le procès-verbal des opérations de la justice pénale établissant que l’appelante a pris connaissance du dossier pénal le 11 mars 2022 et les arrêts de travail du 8 décembre 2021 au 10 janvier 2022, ces documents existaient déjà avant la clôture d’instruction de première instance, mais n’ont pas été produits à cette occasion, sans toutefois que les appelants ne fournissent la moindre explication à ce sujet. Partant, ces titres sont irrecevables, dès lors qu’ils auraient pu être invoqués devant l’autorité précédente déjà en faisant preuve de la diligence requise. Il en va de même s’agissant de la pièce 9, soit du certificat médical daté du 1 er décembre 2022, dès lors que ce certificat – bien qu’établi récemment – concerne la prise médicamenteuse et les arrêts de travail relatifs à la période du 8 décembre 2021 au 10 janvier 2022. Le pièce 7, soit le courriel adressé par l’appelante à un dénommé [...] le 17 août 2022, est irrecevable faute pour l’appelante de l’avoir produit en première instance, étant précisé que cette pièce ne démontre de toute manière pas les menaces proférées par l’intimé à la police judiciaire. Quant aux autres pièces ayant trait à la procédure pénale, soit l’opposition déposée par l’appelante à l’ordonnance pénale (p. 2), la citation à comparaître à l’audience du tribunal de police (p. 3) et le jugement rendu par ce tribunal (p. 11), celles-ci sont recevables dès lors qu’elles sont nouvelles et produites sans retard et il en a été tenu compte dans la mesure utile. Il en va de même du procès-verbal d’audience tenue devant le tribunal de police produit par l’intimé.</w:t>
      </w:r>
    </w:p>
    <w:p>
      <w:r>
        <w:rPr>
          <w:b/>
        </w:rPr>
        <w:t>E. 3.1</w:t>
      </w:r>
    </w:p>
    <w:p>
      <w:r>
        <w:t>Les appelants se prévalent d’une constatation incomplète des faits. Ils soutiennent à cet égard que le premier juge aurait omis de tenir compte des événements survenus avant et après le 7 décembre 2021, soit les menaces que l’intimé aurait proférées à l’encontre de l’appelante et son fils en 2020 déjà, et surtout des événements survenus entre le dépôt de la requête et l’audience de mesures provisionnelles, soit les menaces proférées en août 2022 qui auraient justifié l’ouverture d’une enquête policière. La décision entreprise ne mentionnerait pas que l’ordonnance du Ministère public de l’arrondissement de l’Est vaudois aurait fait l’objet d’oppositions de la part des deux parties, alors que ces éléments auraient été annoncés au premier juge. La cause aurait dès lors été renvoyée devant le tribunal de police. L’appelante relève également qu’elle aurait pris contact, dès le 15 décembre 2021, avec le Centre LAVI en tant que victime et n’aurait pu consulter l’intégralité du dossier pénal qu’en date du 11 mars 2022. Ce serait seulement à cette date, qu’elle aurait découvert que l’intimé avait déjà fait l’objet d’une condamnation par le passé pour lésions corporelles. En outre, la Direction générale de l’enfance et de la jeunesse (ci-après : la DGEJ) aurait annoncé vouloir mettre en place des mesures de protection en rapport avec le comportement de l’intimé.</w:t>
      </w:r>
    </w:p>
    <w:p>
      <w:r>
        <w:rPr>
          <w:b/>
        </w:rPr>
        <w:t>E. 3.2</w:t>
      </w:r>
    </w:p>
    <w:p>
      <w:r>
        <w:t>En l’espèce, les faits seront complétés afin de tenir compte de l’état de la procédure pénale, soit notamment du jugement pénal rendu le 18 octobre 2022 par le tribunal de police à la suite des oppositions formulées par les parties à l’ordonnance pénale rendue le 27 juillet 2022 par la procureure. En revanche, force est de constater que l’état de fait de l’ordonnance entreprise mentionne les menaces proférées à l’encontre des appelants avant et après les événements du 7 décembre 2021, étant précisé que ces éléments seront appréciés ci-après (cf. infra consid. 4.4). Il n’y a pas non plus lieu de compléter l’ordonnance entreprise s’agissant des éléments invoqués par les appelants en lien la DGEJ, la LAVI et de la date de prise de consultation du dossier pénal, dès lors que ceux-ci ne sont pas établis (cf. supra consid. 2.2.2).</w:t>
      </w:r>
    </w:p>
    <w:p>
      <w:r>
        <w:rPr>
          <w:b/>
        </w:rPr>
        <w:t>E. 4.1</w:t>
      </w:r>
    </w:p>
    <w:p>
      <w:r>
        <w:t>Les appelants reprochent au premier juge d’avoir considéré, d’une part, que leurs craintes reposaient sur des suppositions qui n’étaient ni étayées ni corroborées par les faits de la cause et/ou le comportement de l’intimé et, d’autre part, que leur requête était tardive. Ils soutiennent, au contraire, qu’ils recevraient continuellement des menaces de mort ciblées, qui plus est à une date proche de l’audience de mesures provisionnelles, ce qui justifierait une mesure de protection immédiate, ce d’autant plus que l’intimé est déjà passé à l’acte à plusieurs reprises par le passé. Le fait que l’appelante aurait été mise en garde par la police ainsi que par la DGEJ rendrait vraisemblable le comportement dangereux de l’intimé. Les mesures d’éloignement et de contact requises à l’endroit de l’intimé respecteraient par ailleurs le principe de proportionnalité. Enfin, les appelants invoquent une violation du droit, en tant que le premier juge se serait fondé sur une ordonnance pénale qui ne serait pas entrée en force.</w:t>
      </w:r>
    </w:p>
    <w:p>
      <w:r>
        <w:rPr>
          <w:b/>
        </w:rPr>
        <w:t>E. 4.2.1</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 e éd., Berne 2010, n. 1758 ; Juge unique CACI 25 mai 2021/243 consid. 4.2.1).</w:t>
      </w:r>
    </w:p>
    <w:p>
      <w:r>
        <w:rPr>
          <w:b/>
        </w:rPr>
        <w:t>E. 4.2.2.1</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CC I, Bâle 2010, nn. 67ss ad art. 28 CC et les réf. citées).</w:t>
      </w:r>
    </w:p>
    <w:p>
      <w:r>
        <w:rPr>
          <w:b/>
        </w:rPr>
        <w:t>E. 4.2.2.2</w:t>
      </w:r>
    </w:p>
    <w:p>
      <w:r>
        <w:t>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 op. cit., n. 3 ad art. 28b CC et les réf. citées).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protège la personnalité contre des atteintes spécifiques, à savoir celles qui prennent la forme de violence, menaces ou harcèlement (Jeandin/Peyrot, op. cit., n. 11 ad art. 28b).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(Meier, Droit des personnes, 2 e éd. Bâle 2021, n. 954). Dans tous les cas, l’atteinte doit présenter un certain degré d’intensité (CACI du 30 novembre 2016/1083 consid. 4.2 ; CACI du 27 novembre 2015/1013 consid. 3bb ; Jeandin/Peyrot, op. cit., nn. 12 à 14 ad art. 28b CC).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(Jeandin/Peyrot, op. cit., n. 17 ad art. 28b).</w:t>
      </w:r>
    </w:p>
    <w:p>
      <w:r>
        <w:rPr>
          <w:b/>
        </w:rPr>
        <w:t>E. 4.3</w:t>
      </w:r>
    </w:p>
    <w:p>
      <w:r>
        <w:t>Le premier juge a relevé que les appelants avaient déposé leur requête le 6 juillet 2022 en se fondant principalement sur des faits survenus le 7 décembre 2021 et accessoirement sur le courrier du 25 février 2022 de la procureure annonçant la reddition prochaine d’une ordonnance pénale. Selon le premier juge, l’appelante avait confirmé que, depuis les événements du 7 décembre 2021, il ne s’était rien passé. Le magistrat a ainsi constaté que si les faits survenus avaient pu engendrer une atteinte directe à la personnalité des appelants, ils n’étaient cependant pas survenus de manière répétée. En ce qui concerne les suppositions des appelants, selon lesquelles il y avait de fortes chances pour que l’intimé soit prochainement condamné pénalement, ce qui aurait pu fortement l’irriter avec le risque d’une mise à exécution de ses menaces, celles-ci n’étaient ni étayées ni corroborées par les faits de la cause et/ou le comportement de l’intimé. Dans ces conditions, les suppositions que les appelants prêtaient à un éventuel comportement de l’intimé ne constituaient pas des éléments objectifs permettant de déduire ou de rendre vraisemblable une menace sérieuse à leur encontre. Si l’intimé représentait réellement un risque pour les appelants, ceux-ci n’auraient pas attendu le mois de juillet pour déposer leur requête de mesures provisionnelles et superprovisionnelles. Partant, aucun élément objectif ne rendait vraisemblable qu’un danger imminent menaçait les droits de l’appelante ou ceux de son fils. Par ailleurs, la condition de l’urgence n’était pas non plus remplie, dès lors que les appelants avaient attendu sept mois après les événements du 7 décembre 2021 avant de déposer leur requête de mesures provisionnelles. Partant, les mesures de protection requises étaient inutiles, inadéquates et disproportionnées.</w:t>
      </w:r>
    </w:p>
    <w:p>
      <w:r>
        <w:rPr>
          <w:b/>
        </w:rPr>
        <w:t>E. 4.4</w:t>
      </w:r>
    </w:p>
    <w:p>
      <w:r>
        <w:t>En l’espèce, l’intimé a proféré des menaces à deux reprises à l’encontre des appelants, soit en novembre 2020 et en décembre 2021. Certes les menaces de mort proférées le 7 décembre 2021 ainsi que les événements qui se sont suivis ont pu engendrer chez les appelants de sérieuses craintes pour leur intégrité physique, ce qui aurait pu justifier – à cette époque – des mesures de protection, et ce quand bien même l’intimé n’a pas été condamné pénalement pour tentative d’homicide mais pour dommages à la propriété. Il n’empêche que la présente procédure n’a été introduite qu’en date du 6 juillet 2022, soit près de sept mois après lesdits événements. Or pendant ce laps de temps, les appelants n’ont pas fait l’objet de menace ni de violence de la part de l’intimé. Ils soutiennent en revanche avoir fait l’objet de nouvelles atteintes depuis lors, en invoquant les menaces de mort dirigées contre une personne inconnue rapportées par la police judiciaire le 17 août 2022. A supposer que dites menaces aient été rendues vraisemblables (cf. supra consid. 2.2.2), reste que les parties n’ont plus été en contact depuis les événements du 7 décembre 2021, de sorte qu’on peut raisonnablement douter que les appelants étaient « dans la ligne de mire » de l’intimé. Cette appréciation vaut d’autant plus qu’à ce jour et malgré la reddition tant de l’ordonnance pénale que du jugement pénal, force est de constater que l’intimé ne s’est pas manifesté contrairement aux craintes des appelants. C’est dès lors en vain que ceux-ci soutiennent être les cibles de menaces répétées de l’intimé. Ce dernier n’a de surcroît pas tenté de prendre contact avec l’appelante d’une quelconque manière ou de l’approcher auprès de son domicile, de son étude secondaire ou de l’école de son fils, quand bien même les interdictions prononcées en ce sens par ordonnance de mesures superprovisionnelle du 7 juillet 2022 n’ont été exécutoires que jusqu’à reddition de l’ordonnance entreprise. Dans ces conditions, les mesures d’interdiction de périmètre et de contact requises s’avèrent inutiles, et ce nonobstant la condamnation – à une reprise – de l’intimé en juillet 2020 pour lésions corporelles simples. A cela s’ajoute que le prononcé de mesures provisionnelles suppose une certaine urgence, condition qui n’est manifestement pas remplie dès lors que les appelants ont attendu près de sept mois avant de déposer leur requête, étant relevé que les explications de l’appelante au sujet de la possibilité de consulter le dossier pénal qu’en date du 11 mars 2022 ne lui sont d’aucun secours sur ce point.</w:t>
      </w:r>
    </w:p>
    <w:p>
      <w:r>
        <w:rPr>
          <w:b/>
        </w:rPr>
        <w:t>E. 5.1</w:t>
      </w:r>
    </w:p>
    <w:p>
      <w:r>
        <w:t>En définitive, l’appel doit être rejeté et l’ordonnance entreprise confirmée.</w:t>
      </w:r>
    </w:p>
    <w:p>
      <w:r>
        <w:rPr>
          <w:b/>
        </w:rPr>
        <w:t>E. 5.2</w:t>
      </w:r>
    </w:p>
    <w:p>
      <w:r>
        <w:t>Les frais judiciaires de deuxième instance, arrêtés à 600 fr. (art. 65 al. 2 TFJC), doivent être mis à la charge des appelants, solidairement entre eux, qui succombent (art. 106 al. 1 CPC).</w:t>
      </w:r>
    </w:p>
    <w:p>
      <w:r>
        <w:rPr>
          <w:b/>
        </w:rPr>
        <w:t>E. 5.3</w:t>
      </w:r>
    </w:p>
    <w:p>
      <w:r>
        <w:t>Il n’y a pas lieu à l’allocation de dépens, l’intimé – qui ne s’est au surplus de toute manière pas déterminé sur l’appel – n’étant pas représenté dans le cadre de la présente procédure. Par ces motifs, le Juge unique de la Cour d’appel civile prononce : I. L’appel est rejeté. II. L’ordonnance est confirmée. III. Les frais judiciaires de deuxième instance, arrêtés à 600 fr. (six cents francs), sont mis à la charge des appelants, solidairement entre eux. IV. L’arrêt est exécutoire. Le juge unique :               La greffière : Du Le présent arrêt, dont la rédaction a été approuvée à huis clos, est notifié en expédition complète à : ‑ Me Sylvie Saint-Marc (pour A.O.________ et B.O.________), ‑ M. K.________,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