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311 vom 12. Juni 2023</w:t>
      </w:r>
    </w:p>
    <w:p>
      <w:r>
        <w:t>VD Tribunal cantonal, 2023-06-12, FR</w:t>
      </w:r>
    </w:p>
    <w:p>
      <w:r>
        <w:rPr>
          <w:b/>
        </w:rPr>
        <w:t xml:space="preserve">Quelle: </w:t>
      </w:r>
      <w:r>
        <w:t>https://mcp.opencaselaw.ch/entscheid/vd_findinfo_HC___2023___311</w:t>
      </w:r>
    </w:p>
    <w:p>
      <w:r>
        <w:t>FR: VD_FINDINFO HC / 2023 / 311 du 12 juin 2023</w:t>
      </w:r>
    </w:p>
    <w:p>
      <w:r>
        <w:t>IT: VD_FINDINFO HC / 2023 / 311 del 12 giugno 2023</w:t>
      </w:r>
    </w:p>
    <w:p>
      <w:pPr>
        <w:pStyle w:val="Heading2"/>
      </w:pPr>
      <w:r>
        <w:t>Regeste</w:t>
      </w:r>
    </w:p>
    <w:p>
      <w:r>
        <w:t>ACTION EN MODIFICATION, OBLIGATION D'ENTRETIEN, REVENU HYPOTHÉTIQUE, DÉCISION DE RENVOI | 285 CC, 318 al. 1 let. c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CPC). Le délai pour l’introduction de l’appel est de trente jours à compter de la notification de la décision motivée (art. 311 al. 1 CPC).</w:t>
      </w:r>
    </w:p>
    <w:p>
      <w:r>
        <w:rPr>
          <w:b/>
        </w:rPr>
        <w:t>E. 1.2</w:t>
      </w:r>
    </w:p>
    <w:p>
      <w:r>
        <w:t>En l’espèce, formé en temps utile par une personne qui a un intérêt digne de protection (art. 59 al. 2 let. a CPC) et portant sur des conclusions qui, capitalisées selon l’art. 92 al. 2 CPC, sont supérieures à 10’000 fr., l’appel est recevable. Déposée en temps utile et dans les formes prescrites,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 TF 5A_528/2015 du 21 janvier 2016 consid. 2).</w:t>
      </w:r>
    </w:p>
    <w:p>
      <w:r>
        <w:rPr>
          <w:b/>
        </w:rPr>
        <w:t>E. 2.2.2</w:t>
      </w:r>
    </w:p>
    <w:p>
      <w:r>
        <w:t>En l’espèce, la cause concerne des questions liées à l’enfant mineur des parties, de sorte que la maxime inquisitoire illimitée est applicable. Par conséquent, il y a lieu d’admettre que les pièces nouvelles produites dans le cadre de l’appel et de la réponse sont formellement recevables, indépendamment de la question de savoir si leur production respecte les conditions de l’art. 317 al. 1 CPC. Il en sera tenu compte dans la mesure utile.</w:t>
      </w:r>
    </w:p>
    <w:p>
      <w:r>
        <w:rPr>
          <w:b/>
        </w:rPr>
        <w:t>E. 3.1.1</w:t>
      </w:r>
    </w:p>
    <w:p>
      <w:r>
        <w:t>L’appelant conteste dans un premier temps ses revenus, tels que retenus par l’autorité précédente.</w:t>
      </w:r>
    </w:p>
    <w:p>
      <w:r>
        <w:rPr>
          <w:b/>
        </w:rPr>
        <w:t>E. 3.1.2.1</w:t>
      </w:r>
    </w:p>
    <w:p>
      <w:r>
        <w:t>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et les heures supplémentaires (CACI 8 avril 2021/171 ; Juge délégué 24 juillet 2020/318 ; Juge délégué 22 janvier 2020/31).</w:t>
      </w:r>
    </w:p>
    <w:p>
      <w:r>
        <w:rPr>
          <w:b/>
        </w:rPr>
        <w:t>E. 3.1.2.2</w:t>
      </w:r>
    </w:p>
    <w:p>
      <w:r>
        <w:t>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précité consid. 4.3.2 ; TF 5A_939/2012 du 8 mars 2013 consid. 4.2.1).</w:t>
      </w:r>
    </w:p>
    <w:p>
      <w:r>
        <w:rPr>
          <w:b/>
        </w:rPr>
        <w:t>E. 3.1.3.1</w:t>
      </w:r>
    </w:p>
    <w:p>
      <w:r>
        <w:t>L’appelant soutient tout d’abord qu’il serait arbitraire de retenir, en sus de ses revenus mensuels nets perçus auprès des [...], un salaire pour une activité accessoire qu’il n’exercerait plus dans le domaine de la sécurité et qui serait incompatible avec les horaires que lui imposerait son actuel employeur. Il relève à ce titre qu’il aurait expliqué à la présidente qu’à l’époque il aurait exercé cette activité dans la sécurité uniquement sur appel, de manière non régulière, et qu’il n’aurait plus été contacté à ce jour pour l’effectuer. L’intimée indique quant à elle que l’appelant aurait reconnu à l’audience du 3 février 2022 qu’il effectuerait toujours des extras aux services de la sécurité de discothèques et que, selon la jurisprudence, il ne serait pas arbitraire de retenir des revenus accessoires en sus d’une activité à plein temps.</w:t>
      </w:r>
    </w:p>
    <w:p>
      <w:r>
        <w:rPr>
          <w:b/>
        </w:rPr>
        <w:t>E. 3.1.3.2</w:t>
      </w:r>
    </w:p>
    <w:p>
      <w:r>
        <w:t>La présidente a retenu que l’appelant réalisait un salaire mensuel net moyen de 5’786 fr. 40, en se basant sur le revenu annuel net de 72’137 fr. ressortant de son certificat de salaire 2021 et un revenu accessoire hypothétique relatif à l’activité de sécurité en discothèques qu’il effectuait en 2020. Elle a considéré que l’appelant exerçait effectivement une activité lucrative accessoire en se fondant uniquement sur les propos de celui-ci en audience, plus précisément sur l’indication qu’il « travaille également sur appel ». Or, l’on peut également comprendre des faits de la cause que l’appelant travaille sur appel non pas dans le domaine de la sécurité, mais pour son actuel employeur. Il ressort en effet du jugement querellé que son contrat de travail lui impose des horaires irréguliers. On ne voit d’ailleurs pas très bien comment l’appelant pourrait travailler dans le domaine – essentiellement nocturne – de la sécurité, alors que selon son horaire de travail habituel il débute sa journée à quatre heures du matin ou la termine à minuit. Il existe dès lors pour le moins une incertitude quant à ce travail « sur appel », de sorte qu’on ignore en l’état si l’activité qui était exercée en 2020 l’est encore depuis 2021, étant relevé que les déclarations de l’appelant aux débats de première instance – qui fondent à elles seules le revenu dans le jugement querellé – ne semblent pas confirmer les constatations du jugement. De toute manière, s’il devait s’agir d’une activité effective, il appartenait à l’autorité précédente, en application de la maxime d’office, d’instruire pour en déterminer les revenus effectifs dans un premier temps (cf. TF 5A_468/2010 du 27 octobre 2010 consid. 5) et, dans un second temps, de rechercher si la poursuite d’une telle activité accessoire pouvait être exigée du débiteur, sur le long terme, ce qui paraît douteux en l’espèce. Et si l’activité accessoire n’est plus exercée et que l’on envisageait d’imputer un revenu hypothétique à l’appelant, il conviendrait alors d’analyser minutieusement le caractère exigible de la reprise de cette activité accessoire et la possibilité concrète de l’exercer à nouveau, conformément à la jurisprudence constante du Tribunal fédéral (cf. infra ). Sur ces points, le jugement entrepris ne répond ni aux questions de fait, ni aux questions de droit, de sorte qu’un renvoi à l’autorité précédente se justifie, conformément à l’art. 318 al. 1 let. c CPC, pour l’instruction de ces questions, afin de garantir la double instance aux parties. Il sera toutefois relevé ici que, si l’autorité précédente devait arriver au constat que l’activité accessoire n’est plus exercée, elle ne saurait admettre sans autre examen que le revenu d’une activité accessoire en sus d’un pensum à 100 % doit être pris en compte (cf. jugement, p. 13 et 14). En effet, l’arrêt du Tribunal fédéral auquel elle se réfère (cf. TF 5A_901/2015 du 13 juillet 2016 consid. 3.4) concerne des mesures protectrices de l’union conjugale et non un jugement de divorce ou en modification de jugement de divorce, étant encore précisé que l’examen du grief était restreint à l’arbitraire. D’une manière générale, la jurisprudence ne prévoit pas d’obligation de rechercher une activité à un taux supérieur à 100 %. Du reste, même l’arrêt cité mentionne qu’il appartient au juge, dans le cadre de son pouvoir d’appréciation, d’examiner le caractère exigible de la poursuite d’une activité accessoire en sus d’une activité à 100 % (TF 5A_901/2015 précité consid. 3.4). En l’espèce, l’appelant travaille à plein temps comme chauffeur de bus avec, si on se fonde sur ses déclarations – à l’instar de l’autorité précédente – des horaires de travail de 4 heures du matin à 14 heures ou de 14 heures à minuit. Cas échéant, il travaillerait également sur appel, auprès de son actuel employeur, sans doute pour effectuer des remplacements. On ne saurait lui demander, en sus, de travailler davantage dans le domaine de la sécurité, comme l’a retenu la présidente. En effet, il n’est pas envisageable, en commençant le travail à 4 heures du matin et pas davantage possible en finissant à minuit, d’effectuer en sus une activité de videur. En outre, un chauffeur de bus, qui porte une lourde responsabilité, doit pouvoir se reposer. En définitive, dans ce cas, il n’existerait aucune raison suffisante pour considérer que l’appelant devrait, en plus d’un travail particulièrement pénible, avoir une activité accessoire.</w:t>
      </w:r>
    </w:p>
    <w:p>
      <w:r>
        <w:rPr>
          <w:b/>
        </w:rPr>
        <w:t>E. 3.2.1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précité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précité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 TF 5A_931/2017 du 1 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 peut ne pas être exigée du parent gardien.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3.2.2</w:t>
      </w:r>
    </w:p>
    <w:p>
      <w:r>
        <w:t>L’autorité précédente a retenu que l’intimée assumait l’entier de l’entretien en nature de B.Q.________, de sorte que, même si elle devait bénéficier d’un disponible après couverture de son minimum vital dans l’hypothèse où elle serait au bénéfice d’un contrat de travail, elle ne pourrait être astreinte à contribuer financièrement à l’entretien de l’enfant dans de telles circonstances, assumant déjà sa part.</w:t>
      </w:r>
    </w:p>
    <w:p>
      <w:r>
        <w:rPr>
          <w:b/>
        </w:rPr>
        <w:t>E. 3.2.3</w:t>
      </w:r>
    </w:p>
    <w:p>
      <w:r>
        <w:t>Même si l’intimée ne prétend pas à une pension pour elle-même, au vu de la situation financière serrée des parties, il peut être utile que le parent gardien mette à profit sa capacité de gain pour participer, le cas échéant, aux coûts directs des enfants. Cela vaut d’autant plus que l’enfant B.Q.________ est désormais âgé de plus de 16 ans et qu’il ne rentre plus manger à midi (cf. infra consid. 4.5.3), ce qui accroît en outre ses coûts directs. Dans ces circonstances, on ne saurait admettre que le parent gardien épuise son devoir d’entretien par les seules prestations en nature. Reporter dans ce cas l’entier de la charge financière sur le parent non-gardien reviendrait à méconnaître le principe selon lequel les père et mère contribuent ensemble, chacun selon ses facultés, à l’entretien de l’enfant (TF 5A_727/2018 du 22 août 2019 consid. 4.3.2.1 ; TF 5A_583/2018 du 18 janvier 2019 consid. 5.1). En outre, selon la règle des paliers scolaires, l’intimée pourrait travailler à 100 % dès les 16 ans de l’enfant. En définitive, il serait, dans le cas d’espèce, utile de déterminer pour quelle raison l’intimée ne travaillait pas et travaille dorénavant qu’à un taux de 60 %, alors qu’elle a travaillé entre les mois d’octobre 2020 et août 2021 et que son fils est âgé de plus de 16 ans, étant par ailleurs relevé que, dans la convention du 28 septembre 2017, les parties avaient prévu au ch. VI que si l’une ou l’autre des parties retrouvait un emploi, elle s’engageait à en informer immédiatement l’autre. Sur ce point également, le jugement querellé ne répond ni aux questions de fait, ni aux questions de droit. Dans la mesure où la Cour de céans ne dispose pas des éléments suffisants pour déterminer si les conditions d’imputation d’un revenu hypothétique à l’intimée sont réalisées, il convient de renvoyer le dossier à l’autorité précédente, afin qu’elle instruise cette question. Ce n’est qu’en connaissant le montant d’un éventuel revenu hypothétique imputé à l’intimée que l’on pourra déduire si, ensuite des faits nouveaux, attribuer la charge financière de l’enfant à l’appelant seul créerait une situation de déséquilibre (cf. TF 5A_230/2019 du 31 janvier 2020). La simple constatation que l’appelant est encore en mesure de payer la pension ne suffit pas, ce d’autant que l’on se trouve dans une situation de déficit, puisque les revenus de l’appelant ne permettent même pas de couvrir l’entretien convenable de tous les enfants calculé selon la méthode du minimum vital du droit des poursuites.</w:t>
      </w:r>
    </w:p>
    <w:p>
      <w:r>
        <w:rPr>
          <w:b/>
        </w:rPr>
        <w:t>E. 4.1</w:t>
      </w:r>
    </w:p>
    <w:p>
      <w:r>
        <w:t>L’appelant conteste certaines charges retenues dans son budget mensuel et dans les coûts directs de ses enfants.</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précité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précité consid. 5.1 in fine ; TF 5A_584/2018 du 10 octobre 2018 consid. 4.3).</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précité consid. 5.6 ; TF 5A_441/2019 du 25 octobre 2019 consid. 3.2.2).</w:t>
      </w:r>
    </w:p>
    <w:p>
      <w:r>
        <w:rPr>
          <w:b/>
        </w:rPr>
        <w:t>E. 4.2.3</w:t>
      </w:r>
    </w:p>
    <w:p>
      <w:r>
        <w:t>Dans l’arrêt précité ATF 147 III 265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des intéressés. Au montant de base de chaque parent doivent être ajoutés notamment le loyer, les frais de chauffage et les charges accessoires, les dépenses indispensables à l’exercice d’une profession et les pensions alimentaires dues en vertu de la loi.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(ATF 129 III 526 consid. 3 ; TF 5A_767/2016 du 30 janvier 2017 consid. 3.1 ; dans le cas contraire, le loyer doit être ramené à la limite admissible : TF 5A_1029/2015 du 1 er juin 2016 consid. 4.3.1) et à déduire des coûts de logement du parent gardien (TF 5A_464/2012 du 30 novembre 2012 consid. 4.6.3 ; CACI 27 septembre 2021/469 consid. 3.3.2) ou des deux parents en cas de garde alternée (TF 5A_583/2018 précité op. cit. )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là pour les coûts directs ainsi que pour l’éventuelle contribution de prise en charge.</w:t>
      </w:r>
    </w:p>
    <w:p>
      <w:r>
        <w:rPr>
          <w:b/>
        </w:rPr>
        <w:t>E. 4.2.4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Les arrêts les plus récents retiennent des forfaits mensuels de 130 fr. pour les frais de télécommunication parentale (incluant tous les coûts de raccordement, abonnement, amortissement du matériel et Serafe) et 50 fr. concernant un enfant dès l’âge de 12 ans, ainsi que de 50 fr. pour les assurances privées en tout genre, telles notamment l’assurance RC privée ou l’assurance-ménage, à l’exception de l’assurance maladie ou de l’assurance vie, qui constitue une épargne, la pratique vaudoise tendant cependant à inclure dans les charges le paiement des primes d’assurance-vie liée à une hypothèque (CACI du 20 septembre 2022/476 consid. 4.2.1).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w:t>
      </w:r>
    </w:p>
    <w:p>
      <w:r>
        <w:rPr>
          <w:b/>
        </w:rPr>
        <w:t>E. 4.2.5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4.3.1.1</w:t>
      </w:r>
    </w:p>
    <w:p>
      <w:r>
        <w:t>L’appelant fait grief à la présidente d’avoir retenu un loyer raisonnable à hauteur de 1’800 fr., en lieu et place du montant de 2’400 fr. qu’il paie effectivement pour son logement depuis le 1 er janvier 2021. Il soutient que son précédent appartement aurait été insalubre et qu’il aurait été trop petit pour accueillir ses deux filles, ainsi que son épouse, de sorte qu’il n’aurait eu d’autre choix que de déménager. En outre, il relève qu’en comparaison avec le loyer retenu dans le budget mensuel de l’intimée et selon ses propres moyens financiers, le montant de 2’400 fr. serait raisonnable, ce d’autant depuis la venue au monde de son dernier fils au mois de février 2023. L’intimée soutient que le loyer retenu par la présidente serait justifié, dès lors que l’appelant n’aurait eu aucune raison valable de déménager à [...].</w:t>
      </w:r>
    </w:p>
    <w:p>
      <w:r>
        <w:rPr>
          <w:b/>
        </w:rPr>
        <w:t>E. 4.3.1.2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précité consid. 3.1.1 ; TF 5A_1029/2015 précité consid. 4.3.1 ; TF 5A_365/2014 du 25 juillet 2014 consid. 3.1), ainsi qu’aux prix moyens de location d’un objet de même taille dans la localité (Juge délégué CACI 31 août 2021/417 ; Juge délégué CACI 27 septembre 2021/469 précité).</w:t>
      </w:r>
    </w:p>
    <w:p>
      <w:r>
        <w:rPr>
          <w:b/>
        </w:rPr>
        <w:t>E. 4.3.1.3</w:t>
      </w:r>
    </w:p>
    <w:p>
      <w:r>
        <w:t>La présidente a retenu que l’appelant avait, dans un premier temps, pris à bail un appartement dont le loyer de 1'800 fr. par mois était raisonnable au regard de la situation financière de l’appelant et de son épouse Y.________. Elle a ajouté que, s’il était admissible que l’appelant ait déménagé pour bénéficier d’un appartement plus grand dès lors que sa famille s’était agrandie, le loyer actuel était démesuré au regard des capacités financières des parties, ce d’autant que l’épouse de l’appelant était actuellement sans ressources financières. Elle a dès lors ramené le loyer à un coût raisonnable selon elle, soit à 1’800 fr., montant suffisant pour loger convenablement quatre personnes.</w:t>
      </w:r>
    </w:p>
    <w:p>
      <w:r>
        <w:rPr>
          <w:b/>
        </w:rPr>
        <w:t>E. 4.3.1.4</w:t>
      </w:r>
    </w:p>
    <w:p>
      <w:r>
        <w:t>Procéder à une comparaison entre les loyers des deux parties est en principe sans pertinence. Toutefois, même s’il peut être admis que, compte tenu de la situation financière précaire de l’appelant, c’est à juste titre que l’autorité précédente a arrêté son loyer à 1’800 fr. pour la période précédente, on ne saurait retenir qu’un tel loyer devrait être retenu à partir du 1 er février 2023, soit à la naissance du quatrième enfant de l’appelant. En effet, dans la mesure où ils seront deux adultes et trois enfants à vivre sous le même toit, il se justifie d’augmenter, à partir de cette date, le montant du loyer raisonnable à 2’000 fr., afin de prendre en considération cette circonstance nouvelle. A nouveau, compte tenu de la situation financière serrée de l’appelant et de son épouse qui est actuellement sans emploi, on ne saurait retenir le montant du loyer effectif de 2’400 fr., lequel est trop onéreux. Il conviendra donc de retenir un montant de 270 fr. (15 % de 1’800 fr.) jusqu’au mois de janvier 2023 compris, puis de 300 fr. (15 % de 2’000 fr.) dès le 1 er février 2023, dans les coûts directs des enfants C.Q.________ et D.Q.________, ainsi que ce dernier montant dans ceux de l’enfant E.Q.________.</w:t>
      </w:r>
    </w:p>
    <w:p>
      <w:r>
        <w:rPr>
          <w:b/>
        </w:rPr>
        <w:t>E. 4.3.2.1</w:t>
      </w:r>
    </w:p>
    <w:p>
      <w:r>
        <w:t>L’appelant revient ensuite sur ses frais médicaux, lesquels n’ont pas été pris en compte par l’autorité précédente. A ce titre, il relève qu’il aurait dû supporter des frais dentaires pour une intervention effectuée en [...] le 12 juillet 2020, pour un montant de 4’590 euros, soit 4’463 fr. 29. En outre, il soutient qu’il aurait également allégué en procédure avoir supporté des frais médicaux de l’ordre de 124 fr. 90 par année, tout en précisant que, dans sa décision de taxation 2020, il était indiqué qu’il avait été confronté à des frais médicaux pour 4’590 francs. L’intimée rappelle pour sa part les jurisprudences fédérales y relatives, soit que la part des frais médicaux non-couverts, des frais dentaires et de la franchise seraient pris en compte s’ils sont liés à des traitements ordinaires, réguliers, nécessaires, en cours ou imminent, et qu’il reviendrait à celui qui s’en prévaut d’en apporter la preuve, la seule mention de frais médicaux dans des déclarations fiscales du couple ne suffisant pas à démontrer qu’ils seraient effectivement payés.</w:t>
      </w:r>
    </w:p>
    <w:p>
      <w:r>
        <w:rPr>
          <w:b/>
        </w:rPr>
        <w:t>E. 4.3.2.2</w:t>
      </w:r>
    </w:p>
    <w:p>
      <w:r>
        <w:t>L’autorité précédente a retenu que les frais de dentiste invoqués par l’appelant ne pouvaient pas être qualifiés de récurrents, dès lors que ces frais concernaient des implants dentaires, et n’avaient ainsi pas à être pris en considération dans son budget mensuel. La question n’est toutefois pas de savoir s’il s’agit d’un traitement récurrent, mais plutôt de déterminer si ce sont des frais répétés grevant durablement le budget de l’appelant. Même si on aurait pu attendre de l’appelant une motivation détaillée sur ce point dans le cadre de l’appel, celui-ci se limitant à apprécier différemment la situation sur cinq lignes, sans démontrer que son budget serait durablement grevé, il n’en demeure pas moins qu’il a dû prendre en charge le coût de ces implants et a payé plus de 4’000 francs. Au vu de ce qui précède, il se justifie de renvoyer le dossier à la présidente, afin qu’elle instruise cette question.</w:t>
      </w:r>
    </w:p>
    <w:p>
      <w:r>
        <w:rPr>
          <w:b/>
        </w:rPr>
        <w:t>E. 4.3.2.3</w:t>
      </w:r>
    </w:p>
    <w:p>
      <w:r>
        <w:t>4.3.2.3.1 S’agissant des autres frais médicaux invoqués par l’appelant, la présidente a relevé qu’il n’était pas possible de déterminer leur nature, de sorte qu’ils ne pouvaient pas être retenus dans le cadre du calcul du minimum vital. 4.3.2.3.2 Dans la mesure où l’appelant mentionne uniquement la quotité desdits frais, en relevant qu’il est normal de supporter de tels frais compte tenu de son âge, sans démontrer qu’ils seraient liés à des traitements ordinaires, nécessaires, en cours ou imminents, c’est à juste titre que l’autorité précédente ne les a pas pris en considération dans son budget mensuel.</w:t>
      </w:r>
    </w:p>
    <w:p>
      <w:r>
        <w:rPr>
          <w:b/>
        </w:rPr>
        <w:t>E. 4.4</w:t>
      </w:r>
    </w:p>
    <w:p>
      <w:r>
        <w:t>Les coûts directs des enfants sont également discutés par l’appelant.</w:t>
      </w:r>
    </w:p>
    <w:p>
      <w:r>
        <w:rPr>
          <w:b/>
        </w:rPr>
        <w:t>E. 4.4.1.1</w:t>
      </w:r>
    </w:p>
    <w:p>
      <w:r>
        <w:t>L’appelant revient sur les frais de garderie arrêtés dans les coûts directs de ses filles. A ce titre, il fait valoir que son épouse aurait effectué un programme d’insertion entre le 5 juillet et le 5 novembre 2021 et que durant cette période leurs filles auraient été prises en charge dans une garderie. En outre, il relève que, dans la mesure où le jugement querellé ne retiendrait aucune charge concernant l’entretien de son épouse dans son budget mensuel, cela aurait pour incidence qu’elle doit contribuer à son propre entretien et ainsi trouver du travail. A cet égard, il prétend que des frais liés à la prise en charge des enfants seraient également indispensables lorsque son épouse ne travaille pas, à tout le moins jusqu’à la naissance de son fils. Par ailleurs, l’appelant relève que son épouse aurait également suivi un stage rémunéré du 11 janvier au 10 juillet 2022, de sorte que des frais de garde devraient être ajoutés aux coûts directs de ses filles, cet élément démontrant également les démarches sérieuses qu’elle entreprendrait pour retrouver un travail. L’intimée, quant à elle, relève qu’il ne conviendrait pas de retenir des frais de garderie de convenance et non de nécessité, alors qu’il y aurait d’autres possibilités de garde.</w:t>
      </w:r>
    </w:p>
    <w:p>
      <w:r>
        <w:rPr>
          <w:b/>
        </w:rPr>
        <w:t>E. 4.4.1.2</w:t>
      </w:r>
    </w:p>
    <w:p>
      <w:r>
        <w:t>Concernant les frais de garderie, la présidente a pris en compte deux périodes distinctes, à savoir lorsque la mère des enfants travaillait et lorsqu’elle n’effectuait aucune activité lucrative. Elle a ainsi ajouté dans les coûts directs des enfants C.Q.________ et D.Q.________, des frais de garderie à hauteur de 261 fr. 70, lorsque leur mère a suivi le programme dispensé par l’association [...] qui s’est déroulée sur quatre mois, soit du 5 juillet au</w:t>
      </w:r>
    </w:p>
    <w:p>
      <w:r>
        <w:rPr>
          <w:b/>
        </w:rPr>
        <w:t>E. 4.4.1.3</w:t>
      </w:r>
    </w:p>
    <w:p>
      <w:r>
        <w:t>Les frais de garderie durant les mois de juillet à octobre 2021 (et non pas 2022) ont été dûment pris en compte. Comme l’a relevé l’intimée, rien ne justifiait de retenir dans les coûts directs des enfants des frais de garderie de convenance et non de nécessité. En effet, il ne paraît pas justifié de tenir compte de frais de garderie, alors que leur mère ne travaillait pas certaines périodes, ce d’autant que la situation financière de l’appelant est serrée. Par ailleurs, il n’a pas été rendu vraisemblable que l’épouse de l’appelant se serait mise à la recherche d’une formation ou d’un stage à l’issue de son congé maternité. Le raisonnement de la présidente peut ainsi être confirmé en appel, étant cependant constaté que le résultat du calcul effectué par ses soins est égal à 291 fr. 70 (388 fr. 90 – 25 %) et non à 261 fr. 70. Il convient toutefois d’ajouter des frais de prise en charge concernant la période du mois de janvier à juillet 2022, lors de laquelle l’épouse de l’appelant a effectué son stage auprès de la [...]. Dans la mesure où l’on ignore les horaires effectifs de l’épouse de l’appelant et que la présente cause est renvoyée à l’autorité précédente pour un complément d’instruction, celle-ci devra également instruire cet élément afin de calculer le montant de la prise en charge des filles du couple durant cette période.</w:t>
      </w:r>
    </w:p>
    <w:p>
      <w:r>
        <w:rPr>
          <w:b/>
        </w:rPr>
        <w:t>E. 4.4.2</w:t>
      </w:r>
    </w:p>
    <w:p>
      <w:r>
        <w:t>L’appelant soutient que son épouse aurait effectué une formation du 5 juillet au 5 novembre 2021 et un stage du 11 janvier au 10 juillet 2022, ce qui aurait engendré des frais d’acquisition du revenu. Dans la mesure où la cause est renvoyée à l’autorité précédente pour nouvelle instruction, cette question devra être analysée par la présidente, afin qu’elle détermine les revenus et les charges qui devraient être comptabilisés dans son budget mensuel.</w:t>
      </w:r>
    </w:p>
    <w:p>
      <w:r>
        <w:rPr>
          <w:b/>
        </w:rPr>
        <w:t>E. 4.4.3</w:t>
      </w:r>
    </w:p>
    <w:p>
      <w:r>
        <w:t>L’enfant E.Q.________ étant né le [...] 2023, il convient d’arrêter les coûts directs de cet enfant dès le mois de février 2023, à savoir un montant de base de 400 fr., une part au loyer de 300 fr. (2’000 fr. x 15 %), ainsi que 9 fr. de frais médicaux non remboursés, dès lors que ce montant a été retenu dans les coûts directs de sa sœur D.Q.________, sous déduction des allocations familiales par 340 fr., ce qui totalise des coûts directs par 369 francs.</w:t>
      </w:r>
    </w:p>
    <w:p>
      <w:r>
        <w:rPr>
          <w:b/>
        </w:rPr>
        <w:t>E. 4.5</w:t>
      </w:r>
    </w:p>
    <w:p>
      <w:r>
        <w:t>Les coûts directs de l’enfant B.Q.________ sont également discutés par l’appelant.</w:t>
      </w:r>
    </w:p>
    <w:p>
      <w:r>
        <w:rPr>
          <w:b/>
        </w:rPr>
        <w:t>E. 4.5.1.1</w:t>
      </w:r>
    </w:p>
    <w:p>
      <w:r>
        <w:t>L’appelant fait valoir qu’on ignore ce que l’enfant B.Q.________ aurait choisi au terme de sa scolarité obligatoire, que ce soit une formation dans un gymnase ou un apprentissage avec le salaire qui en découle. Il indique également que le jugement querellé ne tiendrait pas compte des allocations pour formation par 400 francs.</w:t>
      </w:r>
    </w:p>
    <w:p>
      <w:r>
        <w:rPr>
          <w:b/>
        </w:rPr>
        <w:t>E. 4.5.1.2</w:t>
      </w:r>
    </w:p>
    <w:p>
      <w:r>
        <w:t>On sait désormais que l’enfant B.Q.________ est élève en classe 12CERT/1 de l’établissement primaire et secondaire de [...] et ce pour l’année scolaire 2022/2023, de sorte qu’on ne saurait déduire de ses coûts directs un éventuel revenu. Il y a toutefois lieu de tenir compte des allocations de formation par 400 fr. dès le mois de février 2022, mois durant lequel B.Q.________ a atteint ses 16 ans.</w:t>
      </w:r>
    </w:p>
    <w:p>
      <w:r>
        <w:rPr>
          <w:b/>
        </w:rPr>
        <w:t>E. 4.5.2</w:t>
      </w:r>
    </w:p>
    <w:p>
      <w:r>
        <w:t>Sur la question des frais de transport de l’enfant B.Q.________, l’intimée a expliqué en appel qu’ils étaient couverts par la commune depuis l’année 2022. La question liée à leur quotité et à l’offre faite par l’appelant n’a plus besoin d’être tranchée ici.</w:t>
      </w:r>
    </w:p>
    <w:p>
      <w:r>
        <w:rPr>
          <w:b/>
        </w:rPr>
        <w:t>E. 4.5.3</w:t>
      </w:r>
    </w:p>
    <w:p>
      <w:r>
        <w:t>L’intimée fait valoir des frais de repas à raison de quatre jours par semaine, du fait que B.Q.________ ne pourrait pas renter manger à midi à la maison, sauf le mercredi, dès lors qu’il est scolarisé à [...] alors qu’il habite à [...]. Il y a lieu de tenir compte dans son budget mensuel, à partir de la rentrée scolaire 2022/2023, des frais de repas par 189 fr. 85, montant le demande l’intimée et pas remis en cause par l’appelant.</w:t>
      </w:r>
    </w:p>
    <w:p>
      <w:r>
        <w:rPr>
          <w:b/>
        </w:rPr>
        <w:t>E. 4.5.4</w:t>
      </w:r>
    </w:p>
    <w:p>
      <w:r>
        <w:t>Concernant la question des frais de télécommunication, si on suit la ligne adoptée par la Cour de céans (cf. supra consid. 4.2.4), il y a lieu d’en tenir compte, toutefois à raison de 50 fr. par mois et non pas de 100 fr. comme avancés par l’intimée.</w:t>
      </w:r>
    </w:p>
    <w:p>
      <w:r>
        <w:rPr>
          <w:b/>
        </w:rPr>
        <w:t>E. 4.5.5</w:t>
      </w:r>
    </w:p>
    <w:p>
      <w:r>
        <w:t>Au vu de ces éléments, les coûts directs de l’enfant B.Q.________ peuvent être arrêtés de la manière suivante : Minimum vital CHF              600.00 Part loyer (1’760 fr. x 15 %) CHF              264.00 Assurance-maladie, subsides déduits              CHF 00.00 Frais de déplacement CHF              100.00 Frais médicaux non remboursés CHF              34.75 Frais télécommunication CHF              50.00 - allocations familiales CHF              300.00 Total coûts directs CHF              748.75 A partir du mois de février 2022, les coûts directs de l’enfant B.Q.________ se sont élevés à 548 fr. 75, frais de transport et frais de formation par 400 fr. déduits, et, dès le mois d’août 2022, ils se montent à 738 fr. 60, dès lors qu’il convient de prendre en compte 189 fr. 85 de frais de repas en sus.</w:t>
      </w:r>
    </w:p>
    <w:p>
      <w:r>
        <w:rPr>
          <w:b/>
        </w:rPr>
        <w:t>E. 4.6</w:t>
      </w:r>
    </w:p>
    <w:p>
      <w:r>
        <w:t>Dans la mesure où le dossier de la cause doit être renvoyé à la présidente pour nouvelle instruction dans le sens des considérants (cf. supra consid. 3.1.3.2, 3.2.3, 4.3.2.2, 4.4.1.3 et 4.4.2), il appartiendra à l’autorité précédente d’examiner dans quelle mesure les revenus et les charges des parties, ainsi que les coûts des enfants, doient être actualisés par rapport aux montants retenus dans le présent arrêt.</w:t>
      </w:r>
    </w:p>
    <w:p>
      <w:r>
        <w:rPr>
          <w:b/>
        </w:rPr>
        <w:t>E. 5</w:t>
      </w:r>
    </w:p>
    <w:p>
      <w:r>
        <w:t>novembre 2021 – à l’exception de la semaine de vacances du 26 au 30 juillet 2021 – de 9 heures à 13 heures, à [...]. Pour retenir ce montant, la présidente a tenu compte du temps des trajets et a admis que la prise en charge des enfants débutait à 8 heures de matin pour se terminer à 14 heures, de sorte qu’ils étaient pris en charge durant six heures par jour au tarif horaire de 3 fr. 05 tel que retenu par le Réseau [...], cinq jours par semaine, ce qui représentait des coûts mensuels par enfant de 388 fr. 90 pour les mois de juillet à octobre 2022, auquel il convenait d’appliquer le rabais pour fratrie de 25 %, ce qui représentait une charge mensuelle de 261 fr. 70 (388 fr. 90 – 25 %) par enfant.</w:t>
      </w:r>
    </w:p>
    <w:p>
      <w:r>
        <w:rPr>
          <w:b/>
        </w:rPr>
        <w:t>E. 5.1</w:t>
      </w:r>
    </w:p>
    <w:p>
      <w:r>
        <w:t>Au vu de ce qui précède, l’appel doit être partiellement admis et le jugement entrepris annulé, la cause étant renvoyée à l’autorité précédente afin qu’elle procède dans le sens précité.</w:t>
      </w:r>
    </w:p>
    <w:p>
      <w:r>
        <w:rPr>
          <w:b/>
        </w:rPr>
        <w:t>E. 5.2</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 TF 5A_327/2016 du 1 er mai 2017 consid. 3.3.2, non publié à l’ATF 143 III 183). En l’espèce, il se justifie de déléguer la répartition des frais et dépens de deuxième instance à la présidente, dès lors que le sort de la cause reste ouvert. Cela dit, la Cour de céans estime les frais judiciaires de deuxième instance à 600 fr. (art. 63 al. 2 TFJC [Tarif des frais judiciaires civils du 28 septembre 2010 ; RSV 270.11.5]) et de plein dépens de deuxième instance à 2’500 fr. pour l’appelant et à 1’250 fr. pour l’intimée (art. 9 al. 2 TDC [tarif des dépens en matière civile du 23 novembre 2010 ; BLV 270.11.6]).</w:t>
      </w:r>
    </w:p>
    <w:p>
      <w:r>
        <w:rPr>
          <w:b/>
        </w:rPr>
        <w:t>E. 5.3</w:t>
      </w:r>
    </w:p>
    <w:p>
      <w:r>
        <w:t>L’intimée a requis d’être mise au bénéfice de l’assistance judiciaire pour la procédure d’appel.</w:t>
      </w:r>
    </w:p>
    <w:p>
      <w:r>
        <w:rPr>
          <w:b/>
        </w:rPr>
        <w:t>E. 5.3.1</w:t>
      </w:r>
    </w:p>
    <w:p>
      <w:r>
        <w:t>A teneur de l’art. 117 CPC, une personne a droit à l’assistance judiciaire si elle ne dispose pas de ressources suffisantes (let. a) et si sa cause ne paraît pas dépourvue de toute chance de succès (let. b). S’agissant du critère de la cause non dépourvue de chance de succès, ce qui est déterminant est de savoir si une partie, qui disposerait des ressources financières nécessaires, se lancerait ou non dans le procès après une analyse raisonnable (ATF 142 III 138 consid. 5.1 et les réf. citées).</w:t>
      </w:r>
    </w:p>
    <w:p>
      <w:r>
        <w:rPr>
          <w:b/>
        </w:rPr>
        <w:t>E. 5.3.2</w:t>
      </w:r>
    </w:p>
    <w:p>
      <w:r>
        <w:t>En l’espèce, dans la mesure où l’intimée a été invitée à déposer une réponse et qu’elle ne dispose pas des ressources suffisantes, les conditions posées par l’art. 117 CPC sont réalisées. Par conséquent, la requête d’assistance judiciaire de l’intimée doit être admise et Me Annik Nicod doit être désignée en qualité de conseil d’office de l’intimée pour la procédure d’appel, avec effet au 28 novembre 2022.</w:t>
      </w:r>
    </w:p>
    <w:p>
      <w:r>
        <w:rPr>
          <w:b/>
        </w:rPr>
        <w:t>E. 5.4.1</w:t>
      </w:r>
    </w:p>
    <w:p>
      <w:r>
        <w:t>Me Jérôme Campart, conseil de l’appelant, a droit à une rémunération équitable pour ses opérations et débours dans la procédure d’appel (art. 122 al. 1 let. a CPC). Dans sa liste d’opérations du 17 mai 2023, il indique avoir consacré 10 heures et 15 minutes facturables à la procédure d’appel, ainsi que des débours forfaitaires. Vu la nature du litige et les difficultés de la cause, le temps consacré au dossier peut être admis. L’indemnité de Me Jérôme Campart peut ainsi être arrêtée, au tarif horaire de 180 fr. (art. 2 al. 1 let. a RAJ [règlement sur l’assistance judiciaire en matière civile du 7 décembre 2010 ; BLV 211.02.3]), à 1’845 fr. (180 fr. x 10.25 heures), montant auquel s’ajoutent 36 fr. 90 à titre de débours forfaitaires (art. 3bis al. 1 RAJ ; 2 %) et la TVA de 7,7 % sur le tout par 144 fr. 90, ce qui donne un total de 2’026 fr. 80, arrondi à 2’027 francs.</w:t>
      </w:r>
    </w:p>
    <w:p>
      <w:r>
        <w:rPr>
          <w:b/>
        </w:rPr>
        <w:t>E. 5.4.2</w:t>
      </w:r>
    </w:p>
    <w:p>
      <w:r>
        <w:t>Me Annik Nicod, conseil de l’intimée, a droit à une rémunération équitable pour ses opérations et débours dans la procédure d’appel (art. 122 al. 1 let. a CPC). Dans sa liste d’opérations du 19 mai 2023, elle indique avoir consacré 5 heures et 30 minutes facturables à la procédure d’appel, ainsi que des débours forfaitaires correspondant à 2 % de ses honoraires. Vu la nature du litige et les difficultés de la cause, le temps consacré au dossier peut être admis. L’indemnité de Me Annik Nicod peut ainsi être arrêtée, au tarif horaire de 180 fr. (art. 2 al. 1 let. a RAJ), à 990 fr. (180 fr. x 5.5 heures), montant auquel s’ajoutent 19 fr. 80 à titre de débours forfaitaires (art. 3bis al. 1 RAJ ; 2 %) et la TVA de 7,7 % sur le tout par 77 fr. 75, ce qui donne un total de 1’087 fr. 55, arrondi à 1’088 francs.</w:t>
      </w:r>
    </w:p>
    <w:p>
      <w:r>
        <w:rPr>
          <w:b/>
        </w:rPr>
        <w:t>E. 5.5</w:t>
      </w:r>
    </w:p>
    <w:p>
      <w:r>
        <w:t>Les parties, bénéficiaires de l’assistance judiciaire, seront tenues au remboursement de l’indemnité de leur conseil d’office provisoirement laissée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