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231 vom 5. April 2023</w:t>
      </w:r>
    </w:p>
    <w:p>
      <w:r>
        <w:t>VD Tribunal cantonal, 2023-04-05, FR</w:t>
      </w:r>
    </w:p>
    <w:p>
      <w:r>
        <w:rPr>
          <w:b/>
        </w:rPr>
        <w:t xml:space="preserve">Quelle: </w:t>
      </w:r>
      <w:r>
        <w:t>https://mcp.opencaselaw.ch/entscheid/vd_findinfo_HC___2023___231</w:t>
      </w:r>
    </w:p>
    <w:p>
      <w:r>
        <w:t>FR: VD_FINDINFO HC / 2023 / 231 du 5 avril 2023</w:t>
      </w:r>
    </w:p>
    <w:p>
      <w:r>
        <w:t>IT: VD_FINDINFO HC / 2023 / 231 del 5 aprile 2023</w:t>
      </w:r>
    </w:p>
    <w:p>
      <w:pPr>
        <w:pStyle w:val="Heading2"/>
      </w:pPr>
      <w:r>
        <w:t>Regeste</w:t>
      </w:r>
    </w:p>
    <w:p>
      <w:r>
        <w:t>MODIFICATION DES CIRCONSTANCES, OBLIGATION D'ENTRETIEN, MESURE PROVISIONNELLE, CONJOINT, REVENU DÉTERMINANT, ADMISSION DE LA DEMANDE | 179 al. 1 CC, 276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 JdT 2005 I 305 ; TF 5A_497/2011 du 5 décembre 2011 consid. 3.2). Le point de savoir si le degré de vraisemblance requis par le droit fédéral est atteint dans le cas particulier relève de l’appréciation des preuves (ATF 130 III 321 consid. 5 ; TF 5A_508/2011 du 21 novembre 2011 consid. 1.3). L’art. 272 CPC prévoit une maxime inquisitoire dite sociale ou limitée, qui n’oblige pas le juge à rechercher lui-même l’état de fait pertinent (TF 5A_ 466/2019 du 25 septembre 2019 consid. 4.2 ; cf. également TF 5A_374/2020 du 22 octobre 2020 consid. 6.2 et les références citées). La maxime inquisitoire sociale ne dispense en effet pas les parties de collaborer activement à la procédure. Il leur incombe de renseigner le juge sur les faits de la cause et de lui indiquer les moyens de preuve disponibles (ATF 140 III 485 consid. 3.3 ; ATF 128 III 411 consid. 3.2.1 ; TF 5A_635/2018 du 14 janvier 2019 consid. 5.3 ; TF 5A_760/2016 du</w:t>
      </w:r>
    </w:p>
    <w:p>
      <w:r>
        <w:rPr>
          <w:b/>
        </w:rPr>
        <w:t>E. 5</w:t>
      </w:r>
    </w:p>
    <w:p>
      <w:r>
        <w:t>En définitive, l’appel doit être admis, l’ordonnance entreprise annulée et la cause renvoyée à l’autorité de première instance pour qu’elle procède dans le sens des considérants (cf. consid. 4.3.2 supra ). Les frais judiciaires de deuxième instance, arrêtés à 600 fr. (cf. art. 65 al. 2 TFJC [tarif des frais judiciaires civils du 28 septembre 2010 ; BLV 270.11.5]), seront mis à la charge de l’intimée, qui succombe (art. 106 al. 1 CPC). L’intimée devra rembourser à l’appelant la somme de 600 fr. à titre de restitution de l’avance des frais judiciaires de deuxième instance (art. 111 al. 2 CPC). L’intimée versera à l’appelant la somme de 1’800 fr. (cf. art. 3 al. 2 et</w:t>
      </w:r>
    </w:p>
    <w:p>
      <w:r>
        <w:rPr>
          <w:b/>
        </w:rPr>
        <w:t>E. 7</w:t>
      </w:r>
    </w:p>
    <w:p>
      <w:r>
        <w:t>TDC [tarif des dépens en matière civile du 23 novembre 2010 ; BLV 270.11.6]) à titre de dépens de deuxième instance. Par ces motifs, la Juge unique de la Cour d’appel civile prononce : I. L’appel est admis. II. L’ordonnance est annulée et la cause renvoyée à la Présidente du Tribunal civil de l’arrondissement de La Côte pour nouvelle décision dans le sens des considérants. III. Les frais judiciaires de deuxième instance, arrêtés à 600 fr. (six cents francs), sont mis à la charge de l’intimée A.________. IV. L’intimée A.________ doit verser à l’appelant S.________ la somme de 2’400 fr. (deux mille quatre cents francs) à titre de dépens et de restitution de l’avance des frais judiciaires de deuxième instance. V. L’arrêt est exécutoire. La juge unique :              Le greffier : Du Le présent arrêt, dont la rédaction a été approuvée à huis clos, est notifié en expédition complète à : ‑ Mes Gloria Capt et Melissa Huber, avocates (pour S.________), ‑ Me Mireille Loroch et Romain Rochani, avocats (pour A.________),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