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219 vom 6. April 2023</w:t>
      </w:r>
    </w:p>
    <w:p>
      <w:r>
        <w:t>VD Tribunal cantonal, 2023-04-06, FR</w:t>
      </w:r>
    </w:p>
    <w:p>
      <w:r>
        <w:rPr>
          <w:b/>
        </w:rPr>
        <w:t xml:space="preserve">Quelle: </w:t>
      </w:r>
      <w:r>
        <w:t>https://mcp.opencaselaw.ch/entscheid/vd_findinfo_HC___2023___219</w:t>
      </w:r>
    </w:p>
    <w:p>
      <w:r>
        <w:t>FR: VD_FINDINFO HC / 2023 / 219 du 6 avril 2023</w:t>
      </w:r>
    </w:p>
    <w:p>
      <w:r>
        <w:t>IT: VD_FINDINFO HC / 2023 / 219 del 6 aprile 2023</w:t>
      </w:r>
    </w:p>
    <w:p>
      <w:pPr>
        <w:pStyle w:val="Heading2"/>
      </w:pPr>
      <w:r>
        <w:t>Regeste</w:t>
      </w:r>
    </w:p>
    <w:p>
      <w:r>
        <w:t>TRANSACTION JUDICIAIRE, MODIFICATION DES CIRCONSTANCES, RÉTROACTIVITÉ, DROIT D'OBTENIR UNE DÉCISION, OBLIGATION D'ENTRETIEN, RENTE D'INVALIDITÉ | 179 al. 1 CC, 285a al. 3 CC, 29 al. 1 Cst.</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qui a un intérêt digne de protection (art. 59 al.</w:t>
      </w:r>
    </w:p>
    <w:p>
      <w:r>
        <w:rPr>
          <w:b/>
        </w:rPr>
        <w:t>E. 2</w:t>
      </w:r>
    </w:p>
    <w:p>
      <w:r>
        <w:t>let. a CPC) contre une ordonnance de mesures provisionnelles portant sur des conclusions, qui capitalisées (art.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L’art. 296 al. 1 CPC prévoit une maxime inquisitoire illimitée en ce qui concerne les questions relatives aux enfants (TF 5A_245/2019 du 1 er juillet 2019 consid. 3.2.1 et les réf. citées ; TF 5A_608/2014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128 III 411 consid. 3.2.1).</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 TF 5A_582/2020 du 7 octobre 2021 consid. 4.1.4).</w:t>
      </w:r>
    </w:p>
    <w:p>
      <w:r>
        <w:rPr>
          <w:b/>
        </w:rPr>
        <w:t>E. 2.3.2</w:t>
      </w:r>
    </w:p>
    <w:p>
      <w:r>
        <w:t>En l’espèce, l’appelant a produit, outre deux pièces de forme (P. 0 et P. 1), deux pièces nouvelles, à savoir un courrier de l’Institution supplétive LPP du 11 août 2022 (P. 2) et la preuve du versement rétroactif le 12 juillet 2021 de la pension provisoire en faveur de D.________ (période d’octobre 2020 à juin 2021) (P.3). Ces pièces sont recevables au regard de la maxime inquisitoire illimitée applicable en l’espèce, la question de la contribution d’entretien de l’enfant étant notamment litigieuse. Il a ainsi été tenu compte des pièces nouvelles dans la mesure utile.</w:t>
      </w:r>
    </w:p>
    <w:p>
      <w:r>
        <w:rPr>
          <w:b/>
        </w:rPr>
        <w:t>E. 2.5.1</w:t>
      </w:r>
    </w:p>
    <w:p>
      <w:r>
        <w:t>L’appelant requiert la tenue d’une audience d’appel.</w:t>
      </w:r>
    </w:p>
    <w:p>
      <w:r>
        <w:rPr>
          <w:b/>
        </w:rPr>
        <w:t>E. 2.5.2</w:t>
      </w:r>
    </w:p>
    <w:p>
      <w:r>
        <w:t>Selon l'art. 316 al. 1 CPC, l’instance d’appel peut ordonner des débats ou statuer sur pièces. En règle générale, l’appel est mené sur la base des pièces du dossier, sans audience, ni administration de preuves (ATF 142 III 413 consid. 2.2.1, JdT 2017 II 153 ; TF 4A_616/2016 du 10 mai 2017 consid. 4.1). L’instance d’appel peut statuer sans procéder à davantage d’investigations et sans fixer d’audience de débats lorsque l’affaire est en état d’être jugée et ce, sans avoir à interpeller préalablement les plaideurs sur ce point (TF 5A_198/2014 du 19 novembre 2014 consid. 4). Elle dispose d’une large liberté de manœuvre pour fixer ou non une audience d’appel (TF 5A_ 37/2017 du 10 juillet 2017 consid. 3.1.2 ; TF 5A_851/2015 du 23 mars 2016 consid. 3.2).</w:t>
      </w:r>
    </w:p>
    <w:p>
      <w:r>
        <w:rPr>
          <w:b/>
        </w:rPr>
        <w:t>E. 2.5.3</w:t>
      </w:r>
    </w:p>
    <w:p>
      <w:r>
        <w:t>En l'espèce, des débats n’apparaissent pas nécessaires, dès lors que le dossier comporte déjà tous les éléments utiles à la prise de décision. De surcroît, l’appelant ne démontre pas en quoi la mesure d’instruction requise s’avérerait pertinente pour trancher le litige, celui-ci se contentant de réclamer la tenue d’une audience d’appel sans motiver plus avant sa requête. Au surplus, l’appelant a eu la faculté de s’exprimer par le biais de son conseil, dans le cadre de son mémoire d’appel. Il ne sera dès lors pas donné suite à sa réquisition, le Juge de céans s’estimant suffisamment renseigné sur les faits de la cause pour statuer sur pièces.</w:t>
      </w:r>
    </w:p>
    <w:p>
      <w:r>
        <w:rPr>
          <w:b/>
        </w:rPr>
        <w:t>E. 3</w:t>
      </w:r>
    </w:p>
    <w:p>
      <w:r>
        <w:t>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Dans ce cadre, le juge ordonne les mesures nécessaires sans être lié par les conclusions des parties et même en l'absence de conclusions (ATF 128 III 411 précité consid. 3.1 et les réf. citées).</w:t>
      </w:r>
    </w:p>
    <w:p>
      <w:r>
        <w:rPr>
          <w:b/>
        </w:rPr>
        <w:t>E. 3.1</w:t>
      </w:r>
    </w:p>
    <w:p>
      <w:r>
        <w:t>L’appelant reproche au premier juge de ne pas avoir modifié les contributions d’entretien dues en faveur de l’enfant C.P.________ et de l’intimée avec effet rétroactif au 1 er novembre 2019, date de l’octroi de la rente d’invalidité. Il soutient que même si les problèmes de santé qu’il rencontre avaient déjà été évoqués antérieurement, la décision de l’Office AI du 14 janvier 2022 constatant formellement son invalidité et fixant le montant des rentes constitue un vrai nova qui ouvre la voie à une modification rétroactive des pensions ainsi qu’à une modification des pensions courantes.</w:t>
      </w:r>
    </w:p>
    <w:p>
      <w:r>
        <w:rPr>
          <w:b/>
        </w:rPr>
        <w:t>E. 3.2.1</w:t>
      </w:r>
    </w:p>
    <w:p>
      <w:r>
        <w:t>Conformément à l’art. 285a al. 3 CC (Code civil suisse du 10 décembre 1907 ; RS 210), les rentes d’assurances sociales ou les autres prestations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L'art. 285 al. 2bis aCC – dans sa version en vigueur jusqu’au 31 décembre 2016 et dont l'art. 285a al. 3 CC, en vigueur depuis le 1 er janvier 2017, a repris la teneur – permet de faire l'économie d'une procédure formelle en modification de la contribution d'entretien lorsque des rentes d'assurances sociales ou d'autres prestations destinées à l'entretien de l'enfant, telles que les rentes pour enfants selon les art. 35 LAI, 22ter LAVS, 17 et 25 LPP, reviennent par la suite au débiteur d'entretien en raison de son âge ou de son invalidité et en remplacement du revenu d'une activité (TF 5A_372/2016 du 18 novembre 2016 consid. 5.1.2 ; TF 5A_496/2013 du 11 septembre 2013 consid. 2, publié in FamPra.ch 2014 p. 219). Si le parent titulaire de la rente principale s’est acquitté de son obligation d’entretien envers l’enfant, il a droit au paiement rétroactif de la rente AI pour enfant à concurrence des contributions d’entretien effectivement versées, pour autant que cette obligation d’entretien résulte d’un jugement du tribunal ou d’une autorité de protection de l’enfant, voire d’un contrat ratifié par l’autorité compétente (ATF 145 V 154). Cette disposition n’exclut toutefois pas une procédure en modification fondée sur l’art. 286 al. 2 CC, si l’adaptation automatique ne tient pas compte de manière adéquate de la modification des circonstances (A. Leuba, P. Meier, M.-L. Papaux van Delden, Droit du divorce / Conditions – effets – procédure, Berne 2021, n. 966 et les références citées).</w:t>
      </w:r>
    </w:p>
    <w:p>
      <w:r>
        <w:rPr>
          <w:b/>
        </w:rPr>
        <w:t>E. 3.2.2</w:t>
      </w:r>
    </w:p>
    <w:p>
      <w:r>
        <w:t>Une fois que des mesures protectrices de l'union conjugale ou des mesures provisionnelles dans la procédure de divorce ont été prononcées, elles ne peuvent être modifiées qu'aux conditions de l'art. 179 CC – applicable directement pour les premières, par renvoi de l'art. 276 al. 1 CPC pour les secondes (TF 5A_617/2017 du 28 septembre 2017 consid. 3.1). Aux termes de l'art. 179 al. 1 1 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143 III 617 consid. 3.1 ; ATF 141 III 376 consid. 3.3.1 ; ATF 129 III 60 consid. 2 ; TF 5A_501/2018 du 22 novembre 2018 consid. 2 ; TF 5A_617/2017 du 28 septembre 2017 consid. 3.1 ; TF 5A_842/2015 du 26 mai 2016 consid. 2.4.2, non publié à l'ATF 142 III 518). Le fait revêt un caractère nouveau lorsqu'il n'a pas été pris en considération pour fixer la contribution d'entretien dans le jugement de divorce ; il n'est en revanche pas besoin d'examiner si les faits nouveaux invoqués pour la justifier étaient ou non prévisibles au jour du premier jugement (ATF 141 III 376 consid. 3.3.1 ; ATF 131 III 189 consid. 2.7.4, JdT 2005 I 324 ; TF 5A_378/2021 du 7 septembre 2022 consid. 3 ; TF 5A_400/2018 du 28 août 2018 consid. 3 ; TF 5A_64/2018 du 14 août 2018 consid. 3.1). On présume néanmoins que la contribution d'entretien a été fixée en tenant compte des modifications prévisibles, soit celles qui, bien que futures, sont déjà certaines ou fort probables (ATF 138 III 289 consid. 11.1.1 [à propos de l’art. 129 al. 1 CC] ; TF 5A_154/2019 du 1 er octobre 2019 consid. 4.1, publié in FamPra.ch 2020 p. 177).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(TF 5A_15/2014 du 28 juillet 2014 consid. 3 ; TF 5A_245/2013 du 24 septembre 2013 consid. 3.1 ; TF 5A_400/2012 du 25 février 2013 consid. 4.1 et les références citées), car la procédure de modification n'a pas pour but de corriger le premier jugement, mais de l'adapter aux circonstances nouvelles (ATF 141 III 376 consid. 3.3.1 ; TF 5A_1035/2021 du 2 août 2022 consid. 3 ; TF 5A_895/2021 du 6 janvier 2022 consid. 5 ; TF 5A_329/2016 du 6 décembre 2016 consid. 3.1). De même, les changements qui étaient prévisibles au moment où la décision a été prise et qui ont été pris en compte lors de la fixation de la contribution d'entretien devant être modifiée ne constituent pas un motif ouvrant le droit à une modification (ATF 143 III 617 consid. 3.1, JdT 2020 II 190 ; TF 5A_501/2018 du 22 novembre 2018 consid. 2, publié in FamPra.ch 2019 p. 599).</w:t>
      </w:r>
    </w:p>
    <w:p>
      <w:r>
        <w:rPr>
          <w:b/>
        </w:rPr>
        <w:t>E. 3.2.3</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On présumera néanmoins que la contribution d’entretien a été fixée en tenant compte des modifications prévisibles soit celles qui, bien que futures, sont déjà certaines ou fort probables (Juge délégué CACI 2 août 2021/375 : fixation d’une contribution d’entretien à quelques mois de la majorité de l’enfant).</w:t>
      </w:r>
    </w:p>
    <w:p>
      <w:r>
        <w:rPr>
          <w:b/>
        </w:rPr>
        <w:t>E. 3.3</w:t>
      </w:r>
    </w:p>
    <w:p>
      <w:r>
        <w:t>ci-dessus), de sorte qu’il n’a pas droit au remboursement des montants perçus par l’intimée en faveur de sa fille et d’elle-même. Le grief est dès lors infondé.</w:t>
      </w:r>
    </w:p>
    <w:p>
      <w:r>
        <w:rPr>
          <w:b/>
        </w:rPr>
        <w:t>E. 4.1</w:t>
      </w:r>
    </w:p>
    <w:p>
      <w:r>
        <w:t>L’appelant revient ensuite sur la convention partielle signée par les parties à l’audience du 5 juillet 2022, en tant qu’elle prévoit à son chiffre III que la contribution due pour l’entretien de l’enfant C.P.________ est notamment calculée sur la base d’un salaire mensuel net de 700 fr. pour l’intimée, et reproche au premier juge de ne pas avoir instruit plus avant la problématique des revenus l’intimée, en particulier sous l’angle de l’imputation d’un revenu hypothétique et sous celui du revenu de sa fortune.</w:t>
      </w:r>
    </w:p>
    <w:p>
      <w:r>
        <w:rPr>
          <w:b/>
        </w:rPr>
        <w:t>E. 4.2</w:t>
      </w:r>
    </w:p>
    <w:p>
      <w:r>
        <w:t>Dans le domaine des transactions judiciaires et extrajudiciaires, dont font partie les conventions sur les effets accessoires du divorce et par analogie sur les mesures protectrices de l’union conjugale, les art. 23 ss CO (Code des obligations du 30 mars 1911 ; RS 220) s'appliquent avec des restrictions (Schmidlin, Berner Kommentar, Berne 2013 , nn. 281 et 295 ss. ad art. 23/24 CO).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 ne peut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(ATF 54 II 188 consid. 2 ; Schmidlin, op. cit., n. 291, 292 et 285 ad art. 23/24 CO). S'agissant des conventions relatives aux effets accessoires du divorce, le Tribunal fédéral a ainsi jugé que l'erreur entachant la convention ne doit être prise en considération que lorsque les parties se sont fondées sur un état de fait déterminé qui s'est révélé inexact par la suite ou lorsque l'une d'elles a tenu par erreur, connue de l'autre, un fait déterminé comme établi. L'erreur doit ainsi toujours concerner un fait que les parties considéraient comme donné. En revanche, comme rappelé précédemment, l'erreur portant sur un point qui a précisément fait l'objet de la transaction, c'est-à-dire l'erreur sur l'objet même de la transaction ( caput controversum ) ne peut être invoquée. Même si cette question devait se résoudre par la suite, elle ne saurait conduire à l'annulation de la transaction pour cause d'erreur puisque, précisément, la transaction avait pour but de renoncer à résoudre cette question (ATF 117 II 218 consid. 3a ; Schmidlin, op. cit., n. 295 et 296 ad art. 23/24 CO).</w:t>
      </w:r>
    </w:p>
    <w:p>
      <w:r>
        <w:rPr>
          <w:b/>
        </w:rPr>
        <w:t>E. 4.3</w:t>
      </w:r>
    </w:p>
    <w:p>
      <w:r>
        <w:t>En l’espèce, l’appelant entend revenir sur la convention de mesures provisionnelles par laquelle les parties sont convenues de régler la situation en ce qui concerne l’entretien de l’enfant C.P.________ à compter du 1 er mai 2022. Il convient à cet égard de rappeler que la transaction judiciaire est un acte consensuel destiné à mettre fin à un litige moyennant des concessions réciproques. L’appelant ne saurait dès lors de bonne foi revenir sur les points incertains que les parties entendaient régler définitivement en transigeant, étant souligné qu’il était assisté d’un conseil professionnel lors de la signature de la convention. Il ne prétend d’ailleurs pas qu’il aurait signé la transaction sous l’empire d’une erreur, particulièrement en ce qui concerne le salaire retenu pour l’intimée, mais soutient que le premier juge aurait violé l’art. 285 CC en n’examinant pas si un revenu hypothétique pouvait être imputé à cette dernière. L’appelant n’a cependant formulé aucune réserve quant à une éventuelle prise en compte d’un revenu supérieur de l’intimée, qu’il s’agisse du revenu provenant de son activité lucrative ou de celui de sa fortune, et il ne saurait maintenant reprocher au premier juge de ne pas avoir cherché à déterminer si ce revenu était en réalité supérieur. En ce qui concerne le revenu de la fortune de l’intimée, les parties ont d’ailleurs expressément déclaré qu’elles ne s’accordaient ni sur celui de l’intimée, ni sur celui de l’appelant, de sorte qu’on ne voit pas ce qui permettrait à ce dernier de revenir sur ce point que les parties ont clairement entendu mettre de côté le temps de la procédure provisionnelle. Une demande en divorce étant pendante, l’appelant aura tout le loisir de requérir dans la procédure au fond les éclaircissements qu’il souhaite sur la situation financière de l’intimée, en particulier à la lumière de son héritage, étant relevé à cet égard que celle de l’appelant devra également faire l’objet d’un examen attentif, puisqu’il semble être propriétaire de plusieurs biens immobiliers. Au demeurant, l’appelant n’allègue – ni a fortiori ne démontre – aucun élément permettant de retenir que la convention du 5 juillet 2022 serait inéquitable et rien n’indique qu’elle le soit dans une mesure telle qu’elle exclurait sa ratification par le juge des mesures provisionnelles, ce d’autant moins qu’une transaction comporte par nature une part de concessions et de risques. Une disproportion entre les prestations des parties n’apparaît en tout état de cause pas évidente. Mal fondé, le grief de l’appelant doit être rejeté.</w:t>
      </w:r>
    </w:p>
    <w:p>
      <w:r>
        <w:rPr>
          <w:b/>
        </w:rPr>
        <w:t>E. 5.1</w:t>
      </w:r>
    </w:p>
    <w:p>
      <w:r>
        <w:t>L’appelant invoque un déni de justice s’agissant de la conclusion de sa requête de mesures provisionnelles du 13 avril 2022 tendant à ce qu’il soit libéré du paiement de toute contribution en faveur de l’intimée à compter du 1 er novembre 2019. Il fait valoir que cette question n’a fait l’objet d’aucun considérant dans l’ordonnance querellée et aurait ainsi échappé au premier juge.</w:t>
      </w:r>
    </w:p>
    <w:p>
      <w:r>
        <w:rPr>
          <w:b/>
        </w:rPr>
        <w:t>E. 5.2</w:t>
      </w:r>
    </w:p>
    <w:p>
      <w:r>
        <w:t>Selon la jurisprudence, commet un déni de justice formel et viole l' art. 29 al. 1 Cst . (Constitution fédérale de la Confédération suisse du 18 avril 1999 ; RS 101) l'autorité qui ne se prononce pas sur un des chefs de conclusions de la demande, alors qu'elle devrait le faire (cf. ATF 142 II 154 consid. 4.2; arrêt 4A_198/2020 du 1er décembre 2020 consid. 4.1).</w:t>
      </w:r>
    </w:p>
    <w:p>
      <w:r>
        <w:rPr>
          <w:b/>
        </w:rPr>
        <w:t>E. 5.3</w:t>
      </w:r>
    </w:p>
    <w:p>
      <w:r>
        <w:t>En l’espèce, l’ordonnance entreprise retient que les contributions dues par l’appelant dès le 1 er mai 2022 ont d’ores et déjà été réglées dans la convention conclue par les parties le 5 juillet 2022, de sorte que seule la modification des contributions d’entretien en faveur de l’enfant C.P.________ et de l’intimée pour la période allant du 1 er novembre 2019 au 30 avril 2022 sera examinée. Son dispositif rappelle notamment la convention précitée – ratifiée sur le siège pour valoir ordonnance partielle de mesures provisionnelles – et rejette pour le surplus les conclusions prises par l’appelant dans sa requête de mesures provisionnelles du 13 avril 2022. Cela étant, la convention du 5 juillet 2022 ne mentionne nullement la contribution due pour l’entretien de l’intimée, seule la situation en lien avec la pension en faveur de l’enfant étant évoquée. Or, l’appelant a conclu dans sa requête de mesures provisionnelles à ce qu’il soit libéré de toute contribution en faveur de son épouse et l’intimée a conclu reconventionnellement à ce que l’appelant soit astreint à contribuer à son entretien par le versement d’un montant qui ne soit pas inférieur à 400 fr. par mois. Pour autant, on ne discerne aucun déni de justice en ce qui concerne la fixation de la contribution due pour l’entretien de l’intimée. En effet, en dépit des conclusions prises à cet égard par les parties, celles-ci n’ont formulé dans la convention du 5 juillet 2022 aucune réserve s’agissant de cette pension ou d’une éventuelle contribution de prise en charge, l’appelant se reconnaissant débiteur d’une pension en faveur de l’enfant C.P.________ uniquement. On doit dès lors comprendre qu’elles entendaient maintenir le régime prévalant en la matière selon la transaction signée devant le juge d’appel le 29 avril 2021, puisqu’à teneur de cet accord l’intimée renonce à toute contribution d’entretien provisionnelle en sa faveur, compte tenu de la situation financière de l’appelant, cette question, de même que celle de la contribution de prise en charge, devant être revue au moment où la décision de l’Office AI serait entrée en force. Si la convention du 5 juillet 2022 ne mentionne que la pension en faveur de l’enfant, c’est donc que les parties ont considéré qu’il n’y avait pas lieu de revenir sur le régime prévu par la transaction du 29 avril 2021. C’est ainsi à bon droit que le premier juge a retenu que le dispositif prévu réglait la question de l’entretien de la famille dans son intégralité, aucune contribution d’entretien autre que celle en faveur de l’enfant C.P.________ ne pouvant être réclamée à l’appelant. L’intimée n’a pas fait appel de l’ordonnance entreprise, de sorte que la question de la contribution d’entretien en faveur de cette dernière apparaît définitivement réglée, le régime provisionnel prévu par la convention du 29 avril 2021 étant ainsi appelé à perdurer en ce qui concerne l’intimée. Au surplus, compte tenu de la rente AI perçue par l’appelant, on ne voit pas qu’il soit à ce stade en situation de payer une pension à l’intimée, ce que celle-ci ne soutient d’ailleurs pas. Le moyen tombe dès lors à faux.</w:t>
      </w:r>
    </w:p>
    <w:p>
      <w:r>
        <w:rPr>
          <w:b/>
        </w:rPr>
        <w:t>E. 6.1</w:t>
      </w:r>
    </w:p>
    <w:p>
      <w:r>
        <w:t>L’appelant soutient que l’intimée doit être reconnue sa débitrice d’un montant de 98'613 fr. 45 à titre de rétroactif de pensions versées indûment.</w:t>
      </w:r>
    </w:p>
    <w:p>
      <w:r>
        <w:rPr>
          <w:b/>
        </w:rPr>
        <w:t>E. 6.2</w:t>
      </w:r>
    </w:p>
    <w:p>
      <w:r>
        <w:t>Aux termes de l'art. 62 CO, celui qui, sans cause légitime, s'est enrichi aux dépens d'autrui est tenu à restitution (al. 1). La restitution est due, en particulier, de ce qui a été reçu sans cause valable, en vertu d'une cause qui ne s'est pas réalisée, ou d'une cause qui a cessé d'exister (al. 2).</w:t>
      </w:r>
    </w:p>
    <w:p>
      <w:r>
        <w:rPr>
          <w:b/>
        </w:rPr>
        <w:t>E. 6.3</w:t>
      </w:r>
    </w:p>
    <w:p>
      <w:r>
        <w:t>En l’espèce, la conclusion de l’appelant repose sur la prémisse que la modification des contributions dues pour l’entretien des siens est accordée rétroactivement au jour où son invalidité a été reconnue par l’Office AI. Or, l’appelant voit son appel rejeté sur ce point (cf. consid.</w:t>
      </w:r>
    </w:p>
    <w:p>
      <w:r>
        <w:rPr>
          <w:b/>
        </w:rPr>
        <w:t>E. 7.1</w:t>
      </w:r>
    </w:p>
    <w:p>
      <w:r>
        <w:t>En conclusion, l’appel doit être rejeté et l’ordonnance de mesures provisionnelles confirmée.</w:t>
      </w:r>
    </w:p>
    <w:p>
      <w:r>
        <w:rPr>
          <w:b/>
        </w:rPr>
        <w:t>E. 7.2</w:t>
      </w:r>
    </w:p>
    <w:p>
      <w:r>
        <w:t>Les frais judiciaires de deuxième instance, arrêtés à 600 fr. (art. 65 al. 2 TFJC [tarif des frais judiciaires civils du 28 septembre 2010 ; BLV 270.11.5), seront mis à la charge de l’appelant, qui succombe entièrement (art. 106 al. 1 CPC).</w:t>
      </w:r>
    </w:p>
    <w:p>
      <w:r>
        <w:rPr>
          <w:b/>
        </w:rPr>
        <w:t>E. 7.3</w:t>
      </w:r>
    </w:p>
    <w:p>
      <w:r>
        <w:t>Vu l’issue de la procédure, l’appelant doit verser à l’intimée de pleins dépens de deuxième instance, qui seront arrêtés à 1’400 fr. (art. 7 TDC [tarif des dépens en matière civile du 23 novembre 2010 ; BLV 270.11.6]). Par ces motifs, le Juge unique de la Cour d’appel civile prononce : I. L’appel est rejeté. II. L’ordonnance est confirmée. III. Les frais judiciaires de deuxième instance, arrêtés à 600 fr. (six cents francs), sont mis à la charge de l’appelant A.P.________. IV. L’appelant A.P.________ versera à l’intimée D.________ la somme de 1'400 fr. (mille quatre cents francs) à titre de dépens de deuxième instance. V. L’arrêt est exécutoire. Le juge unique :               La greffière : Du Le présent arrêt, dont la rédaction a été approuvée à huis clos, est notifié en expédition complète à : ‑ Me Mathieu Azizi (pour A.P.________, ‑ Me Alexa Landert (pour D.________), et communiqué, par l'envoi de photocopies, à : ‑ M.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