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189 vom 22. März 2023</w:t>
      </w:r>
    </w:p>
    <w:p>
      <w:r>
        <w:t>VD Tribunal cantonal, 2023-03-22, FR</w:t>
      </w:r>
    </w:p>
    <w:p>
      <w:r>
        <w:rPr>
          <w:b/>
        </w:rPr>
        <w:t xml:space="preserve">Quelle: </w:t>
      </w:r>
      <w:r>
        <w:t>https://mcp.opencaselaw.ch/entscheid/vd_findinfo_HC___2023___189</w:t>
      </w:r>
    </w:p>
    <w:p>
      <w:r>
        <w:t>FR: VD_FINDINFO HC / 2023 / 189 du 22 mars 2023</w:t>
      </w:r>
    </w:p>
    <w:p>
      <w:r>
        <w:t>IT: VD_FINDINFO HC / 2023 / 189 del 22 marzo 2023</w:t>
      </w:r>
    </w:p>
    <w:p>
      <w:pPr>
        <w:pStyle w:val="Heading2"/>
      </w:pPr>
      <w:r>
        <w:t>Regeste</w:t>
      </w:r>
    </w:p>
    <w:p>
      <w:r>
        <w:t>HYPOTHÈQUE LÉGALE DES ARTISANS ET ENTREPRENEURS, MESURE PROVISIONNELLE, PRINCIPE DE LA BONNE FOI, COMPÉTENCE RATIONE LOCI | 839 al. 2 CC, 52 CPC (CH), 59 al. 2 let. b CPC (CH)</w:t>
      </w:r>
    </w:p>
    <w:p>
      <w:pPr>
        <w:pStyle w:val="Heading2"/>
      </w:pPr>
      <w:r>
        <w:t>Erwägungen</w:t>
      </w:r>
    </w:p>
    <w:p>
      <w:r>
        <w:rPr>
          <w:b/>
        </w:rPr>
        <w:t>E. 5.1</w:t>
      </w:r>
    </w:p>
    <w:p>
      <w:r>
        <w:t>Enfin, l’appelante fait grief au premier juge d’avoir méconnu les art. 59 al. 1 let. b, 60 et 63 CPC en déclarant recevable la requête, alors que celle-ci avait été déposée devant un juge territorialement incompétent, qui l’avait ensuite transmise d’office au premier juge, au lieu de la déclarer irrecevable, comme prévu à l’art. 60 CPC, et de laisser à la partie requérante le soin de la renouveler, comme prévu à l’art. 63 CPC.</w:t>
      </w:r>
    </w:p>
    <w:p>
      <w:r>
        <w:rPr>
          <w:b/>
        </w:rPr>
        <w:t>E. 5.2</w:t>
      </w:r>
    </w:p>
    <w:p>
      <w:r>
        <w:t>Dès lors que la requête datée du 28 février 2022 comportait un Iapsus calami , elle devait être traitée comme si elle avait indiqué le Président du Tribunal d’arrondissement de l’Est vaudois comme destinataire ( cf. supra consid. 4.3). En particulier, comme il était reconnaissable que l’intimée voulait, par sa requête datée du 28 février 2022, saisir le Président du Tribunal d’arrondissement de l’Est vaudois, c’est à bon droit que le Président du Tribunal d’arrondissement de la Broye et du Nord vaudois n’a pas statué sur cette requête, mais qu’il l’a, à réception du pli qui la contenait, transmise au Président du Tribunal d’arrondissement de l’Est vaudois, auquel, de manière reconnaissable, elle était destinée. Il est vrai que, déposée à la poste dans un pli adressé à une autre autorité que celle à laquelle elle était elle-même destinée, la requête datée du 28 février 2022 n’a pas créé la litispendance à la date de son dépôt, le dépôt à la poste ne produisant cet effet que lorsque le pli est adressé à l’autorité saisie ( cf. art. 143 al. 1 CPC, selon lequel un délai est respecté si l’acte est déposé le dernier jour du délai au tribunal ou à la poste à son attention ). Mais, en tout état, la requête est parvenue au juge saisi et l’inscription a été opérée sur ordre de celui-ci avant l’échéance du délai de l’art. 839 al. 2 CC. Les griefs de l’appelant sont dès lors mal fondés.</w:t>
      </w:r>
    </w:p>
    <w:p>
      <w:r>
        <w:rPr>
          <w:b/>
        </w:rPr>
        <w:t>E. 6.1</w:t>
      </w:r>
    </w:p>
    <w:p>
      <w:r>
        <w:t>En définitive, l’appel doit être rejeté et l’ordonnance entreprise confirmée.</w:t>
      </w:r>
    </w:p>
    <w:p>
      <w:r>
        <w:rPr>
          <w:b/>
        </w:rPr>
        <w:t>E. 6.2</w:t>
      </w:r>
    </w:p>
    <w:p>
      <w:r>
        <w:t>Selon l’art. 106 al. 1 CPC, les frais doivent être mis à la charge de la partie qui succombe. Toutefois, l’art. 107 al. 1 let. f CPC permet au juge de répartir les frais en équité lorsque des circonstances particulières le justifient et l’art. 108 CPC prévoit que les frais causés inutilement sont mis à la charge de la personne qui les a engendrés. Cette dernière disposition permet notamment de mettre tout ou partie des frais à la charge de la partie victorieuse si celle-ci a abusivement compliqué ou prolongé le procès (Stoudmann in Chabloz et al., Petit commentaire CPC, op. cit. n. 6 ad art. 108). En l’espèce, en ne contrôlant pas assez bien l’énoncé des conclusions de la requête datée du 28 février 2022, le conseil de l’intimée a provoqué les contestations de l’appelant et il est compréhensible que celui-ci ait tenté de les faire valoir en appel. Il est dès lors équitable et conforme tant à l’art. 107 al. 1 let. f CPC qu’à l’art. 108 CPC de mettre les frais judiciaires, arrêtés à 800 fr. (art. 65 al. 1 TFJC), par moitié à la charge des deux parties et de compenser les dépens de deuxième instance. Par ces motifs, le Juge unique de la Cour d’appel civile prononce : I. L’appel est rejeté. II. L’ordonnance est confirmée. III. Les frais judiciaires de deuxième instance, arrêtés à 800 fr. (huit cents francs), sont mis par 400 fr. (quatre cents francs) à la charge de l’appelant P.________ et par 400 fr. (quatre cents francs) à la charge de l’intimée V.________ SA. IV. L’intimée V.________ SA doit verser 400 fr. (quatre cents francs) à l’appelant P.________ en remboursement de sa part des frais judiciaires, dont il a fait l’avance. V. Les dépens de deuxième instance sont compensés. VI. L’arrêt est exécutoire. Le juge unique :               La greffière : Du Le présent arrêt, dont la rédaction a été approuvée à huis clos, est notifié en expédition complète à : ‑ Me Olivier Klunge (pour P.________), ‑ Me Michele Bettini (pour V.________ SA),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