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168 vom 3. März 2023</w:t>
      </w:r>
    </w:p>
    <w:p>
      <w:r>
        <w:t>VD Tribunal cantonal, 2023-03-03, FR</w:t>
      </w:r>
    </w:p>
    <w:p>
      <w:r>
        <w:rPr>
          <w:b/>
        </w:rPr>
        <w:t xml:space="preserve">Quelle: </w:t>
      </w:r>
      <w:r>
        <w:t>https://mcp.opencaselaw.ch/entscheid/vd_findinfo_HC___2023___168</w:t>
      </w:r>
    </w:p>
    <w:p>
      <w:r>
        <w:t>FR: VD_FINDINFO HC / 2023 / 168 du 3 mars 2023</w:t>
      </w:r>
    </w:p>
    <w:p>
      <w:r>
        <w:t>IT: VD_FINDINFO HC / 2023 / 168 del 3 marzo 2023</w:t>
      </w:r>
    </w:p>
    <w:p>
      <w:pPr>
        <w:pStyle w:val="Heading2"/>
      </w:pPr>
      <w:r>
        <w:t>Regeste</w:t>
      </w:r>
    </w:p>
    <w:p>
      <w:r>
        <w:t>DÉCISION D'IRRECEVABILITÉ, MOTIVATION DE LA DEMANDE, CONCLUSIONS | 311 al. 1 CPC (CH), 312 al. 1 CPC (CH)</w:t>
      </w:r>
    </w:p>
    <w:p>
      <w:pPr>
        <w:pStyle w:val="Heading2"/>
      </w:pPr>
      <w:r>
        <w:t>Erwägungen</w:t>
      </w:r>
    </w:p>
    <w:p>
      <w:r>
        <w:rPr>
          <w:b/>
        </w:rPr>
        <w:t>E. 3</w:t>
      </w:r>
    </w:p>
    <w:p>
      <w:r>
        <w:t>et 4, RSPC 2012 p. 128, SJ 2012 I 231). L’instance supérieure doit pouvoir comprendre ce qui est reproché au premier juge sans avoir à rechercher les griefs par elle-même, ce qui exige une certaine précision quant à l’énoncé et à la discussion des griefs (Jeandin, Commentaire romand CPC, 2 e éd., Bâle 2019, n. 3 ad art. 311 CPC). A défaut de motivation suffisante, l’appel est d’emblée irrecevable, sans qu’il y ait lieu à interpellation de la partie (TF 4A_651/2012 du 7 février 2013 consid. 4.2). Il n'y a en particulier pas lieu, dans un tel cas, de statuer sur la base du dossier (TF 5A_438/2012 du 27 août 2012 consid. 2.4, RSPC 2013 p. 29).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5A_730/2021 du 9 février 2022 consid. 3.3.2 ; TF 5A_23/2019 du 3 juillet 2019 consid. 3.2.2 ; TF 5A_488/2015 du 21 août 2015 consid.</w:t>
      </w:r>
    </w:p>
    <w:p>
      <w:r>
        <w:rPr>
          <w:b/>
        </w:rPr>
        <w:t>E. 3.1.1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3.1.2</w:t>
      </w:r>
    </w:p>
    <w:p>
      <w:r>
        <w:t>En l’espèce, l’appel a été formé en temps utile par une partie qui y a intérêt (art. 59 al. 2 let. a CPC), contre une décision finale et porte sur des conclusions qui sont supérieures à 10'000 francs.</w:t>
      </w:r>
    </w:p>
    <w:p>
      <w:r>
        <w:rPr>
          <w:b/>
        </w:rPr>
        <w:t>E. 3.2</w:t>
      </w:r>
    </w:p>
    <w:p>
      <w:r>
        <w:t>; TF 4A_258/2015 du 21 octobre 2015 consid. 2.4.1 ; TF 5A_488/2015 du 21 août 2015 consid. 3.2.2). En outre, à l’instar de l’acte introductif d’instance, l’appel doit contenir des conclusions. Il faut donc que l’appelant explicite dans quelle mesure la décision attaquée doit être modifiée ou annulée (ATF 137 III 617 consid. 4.2.2, JdT 2014 II 187), ses conclusions pouvant être interprétées à la lumière de la motivation de l’appel.</w:t>
      </w:r>
    </w:p>
    <w:p>
      <w:r>
        <w:rPr>
          <w:b/>
        </w:rPr>
        <w:t>E. 3.2.1</w:t>
      </w:r>
    </w:p>
    <w:p>
      <w:r>
        <w:t>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5A_573/2017 du 19 octobre 2017 consid. 3.1 ; TF 5A_396/2013 du 26 février 2014 consid. 5.3.1). L’appelant ne peut se contenter de renvoyer aux écritures précédentes ou aux moyens soulevés en première instance ; il doit expliquer en quoi son argumentation peut influer sur la solution retenue par les premiers juges (TF 4A_474/2013 du 10 mars 2014 consid. 3.1, SJ 2014 I 459 ; TF 5A_438/2012 du 27 août 2012 consid. 2.2, RSPC 2013 p. 29 ; TF 4A_659/2011 du 7 décembre 2011 consid.</w:t>
      </w:r>
    </w:p>
    <w:p>
      <w:r>
        <w:rPr>
          <w:b/>
        </w:rPr>
        <w:t>E. 3.2.2</w:t>
      </w:r>
    </w:p>
    <w:p>
      <w:r>
        <w:t>En l’espèce, l’écriture de l’appelant – prolixe et souvent confuse – ne comporte aucune motivation pertinente. L’appelant ne développe aucune argumentation en lien avec les considérants de la décision entreprise et la lecture de son acte ne permet pas de déterminer quel raisonnement l’autorité de première instance aurait dû tenir, ce qui constitue un vice irréparable. L’acte d’appel ne contient en outre aucune conclusion, que ce soit en annulation ou en réforme du jugement entrepris. Partant, l’appel est manifestement irrecevable.</w:t>
      </w:r>
    </w:p>
    <w:p>
      <w:r>
        <w:rPr>
          <w:b/>
        </w:rPr>
        <w:t>E. 4</w:t>
      </w:r>
    </w:p>
    <w:p>
      <w:r>
        <w:t>Compte tenu de ce qui précède, l’appel doit être déclaré irrecevable selon le mode procédural de l’art. 312 al. 1 CPC. Vu l’issue du litige, l’arrêt sera rendu sans frais (art. 11 TFJC [tarif des frais judiciaires civils du 28 septembre 2010 ; BLV 270.11.5]). Il n’y a pas matière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