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989 vom 30. November 2022</w:t>
      </w:r>
    </w:p>
    <w:p>
      <w:r>
        <w:t>VD Tribunal cantonal, 2022-11-30, FR</w:t>
      </w:r>
    </w:p>
    <w:p>
      <w:r>
        <w:rPr>
          <w:b/>
        </w:rPr>
        <w:t xml:space="preserve">Quelle: </w:t>
      </w:r>
      <w:r>
        <w:t>https://mcp.opencaselaw.ch/entscheid/vd_findinfo_HC___2022___989</w:t>
      </w:r>
    </w:p>
    <w:p>
      <w:r>
        <w:t>FR: VD_FINDINFO HC / 2022 / 989 du 30 novembre 2022</w:t>
      </w:r>
    </w:p>
    <w:p>
      <w:r>
        <w:t>IT: VD_FINDINFO HC / 2022 / 989 del 30 novembre 2022</w:t>
      </w:r>
    </w:p>
    <w:p>
      <w:pPr>
        <w:pStyle w:val="Heading2"/>
      </w:pPr>
      <w:r>
        <w:t>Regeste</w:t>
      </w:r>
    </w:p>
    <w:p>
      <w:r>
        <w:t>ASSISTANCE JUDICIAIRE, DÉNUEMENT | 117 let. a CPC (CH)</w:t>
      </w:r>
    </w:p>
    <w:p>
      <w:pPr>
        <w:pStyle w:val="Heading2"/>
      </w:pPr>
      <w:r>
        <w:t>Erwägungen</w:t>
      </w:r>
    </w:p>
    <w:p>
      <w:r>
        <w:rPr>
          <w:b/>
        </w:rPr>
        <w:t>E. 1.1</w:t>
      </w:r>
    </w:p>
    <w:p>
      <w:r>
        <w:t>L’art. 319 let. b ch. 1 CPC (Code de procédure civile du 19 décembre 2008 ; RS 272)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La décision statuant sur une requête d’assistance judiciaire étant régie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déposé en temps utile par une partie qui a un intérêt digne de protection (art. 59 al. 2 let. a CPC), le recours, écrit et motivé, est recevable.</w:t>
      </w:r>
    </w:p>
    <w:p>
      <w:r>
        <w:rPr>
          <w:b/>
        </w:rPr>
        <w:t>E. 1.3</w:t>
      </w:r>
    </w:p>
    <w:p>
      <w:r>
        <w:t>A l’appui de son recours, la recourante a produit un courrier établi le 29 avril 2022 par [...] SA, qui fait état d’un « montant du prêt après l’augmentation » de 61’900 fr., d’un prêt préexistant de 30’000 fr. et d’un montant à verser de 31’900 fr. (pièce 2). Sur ce document, il est également indiqué qu’afin de procéder au versement, la compagnie d’assurance a besoin de documents supplémentaires. Cette pièce, datée du mois d’avril 2022, est irrecevable, dès lors qu’elle aurait pu être produite devant le premier juge, notamment à l’appui de la demande d’assistance judiciaire de l’intéressée (cf. art. 326 al. 1 CPC).</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rPr>
          <w:b/>
        </w:rPr>
        <w:t>E. 3.1</w:t>
      </w:r>
    </w:p>
    <w:p>
      <w:r>
        <w:t>La recourante fait valoir qu’elle n’aurait pas les ressources financières suffisantes pour s’acquitter des frais de la présente cause.</w:t>
      </w:r>
    </w:p>
    <w:p>
      <w:r>
        <w:rPr>
          <w:b/>
        </w:rPr>
        <w:t>E. 3.2.1</w:t>
      </w:r>
    </w:p>
    <w:p>
      <w:r>
        <w:t>Selon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w:t>
      </w:r>
    </w:p>
    <w:p>
      <w:r>
        <w:rPr>
          <w:b/>
        </w:rPr>
        <w:t>E. 3.2.2</w:t>
      </w:r>
    </w:p>
    <w:p>
      <w:r>
        <w:t>Celui qui requiert l’assistance judiciaire doit indiquer d’une « manière complète » et établir, dans la mesure du possible, ses revenus, sa situation de fortune et ses charges (TF 5D_114/2012 du 4 octobre 2012 consid. 2.3.2), et exposer l’affaire et les moyens de preuve qu’il entend invoquer (art. 119 al. 2 CPC ; TF 5A_181/2019 du 27 mai 2019 consid. 3.1.2). Applicable à la procédure portant sur l’octroi ou le refus de l’assistance judiciaire, la maxime inquisitoire est limitée par le devoir de collaborer des parties. Ce devoir de collaborer ressort en particulier de l’art. 119 al. 2 CPC.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5A_181/2019 du 27 mai 2019 consid. 3.1.2 ; TF 5A_327/2017 du 2 août 2017 consid. 4.1.3 et les références citées).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la référence citée).</w:t>
      </w:r>
    </w:p>
    <w:p>
      <w:r>
        <w:rPr>
          <w:b/>
        </w:rPr>
        <w:t>E. 3.2.3</w:t>
      </w:r>
    </w:p>
    <w:p>
      <w:r>
        <w:t>Pour déterminer l’indigence, il y a lieu de mettre en balance, d’une part, la totalité des revenus du plaideur (gains accessoires compris), sa fortune, ses éventuelles créances contre des tiers et, d’autre part, les charges d’entretien et les engagements financiers auxquels il ne peut pas échapper (ATF 135 I 221 consid. 5.1 ; ATF 120 la 179 consid. 3a ; TF 5A_327/2017 du 2 août 2017 consid. 4.1.1 ; Tappy, Commentaire romand, op. cit., n. 23 ss ad art. 117 CPC). Seules les charges réellement acquittées sont susceptibles d’entrer dans le calcul du minimum vital (ATF 121 III 20 consid. 3a ; TF 5F_8/2010 du 26 mai 2011 consid. 3.1 ; TF 5A_181/2019 du 27 mai 2019 consid. 3.1.1 et les références citées). Les charges d’entretien peuvent être appréciées selon les normes du droit des poursuites concernant le minimum vital. Toutefois, on ajoutera un pourcentage de l’ordre de 25% au montant de base LP, afin d’atténuer la rigueur de ces normes (cf. ATF 124 I 2 consid. 2c ; TF 4A_432/2016 du 21 décembre 2016 consid. 6 ; CREC 30 janvier 2019/45). La fortune mobilière et immobilière doit être prise en compte, pour autant qu’elle soit disponible (ATF 124 I 1 consid. 2a ; TF 5A_716/2021 du 7 mars 2022 consid. 3 ; TF 5A_863/2017 du 3 août 2018 consid. 3.2). Les éléments de fortune réels, frappés d’une mesure de blocage, n’excluent pas l’assistance judiciaire (ATF 119 Ia 11 consid. 5). Tel n’est pas le cas si elle ne peut être réalisée qu’une fois le procès terminé (ATF 118 Ia 369 consid. 4b) et la prétention qui fait l’objet du procès ne peut être prise en compte (TF 5A_849/2014 du 30 mars 2015 consid. 4.3). Une créance en souffrance et litigieuse du requérant ne peut pas être invoquée pour motiver le refus de la requête d’assistance judiciaire (TF 5A_849/2014 du 30 mars 2015 consid. 4.4). L’Etat ne peut toutefois exiger que le requérant utilise ses économies, si elles constituent sa réserve de secours, laquelle s’apprécie en fonction des besoins futurs de l’indigent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2014 consid. 2.4 ; CREC 4 avril 2016/116)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réserve de secours évaluée entre 20’000 fr. et 40’000 fr. (TF 5A_101/2022 du 12 avril 2022 consid. 5 ; TF 5A_886/2017 du 20 mars 2017 consid. 5.2, RSPC 2018 p. 281 : réserve de secours de 20’000 fr. à 40’000 fr. s’agissant d’une personne retraitée ; TF 5P.375/2006 du 18 décembre 2006 consid. 3.4).</w:t>
      </w:r>
    </w:p>
    <w:p>
      <w:r>
        <w:rPr>
          <w:b/>
        </w:rPr>
        <w:t>E. 3.2.4</w:t>
      </w:r>
    </w:p>
    <w:p>
      <w:r>
        <w:t>En ce qui concerne les engagements financiers du requérant, seules les charges réellement acquittées sont susceptibles d’entrer dans le calcul du minimum vital (ATF 121 III 20 consid. 3a ; TF 5A_181/2019 du 27 mai 2019 consid. 3.1.1). Des dettes anciennes, sur lesquelles le débiteur ne verse plus rien, ne priment pas l’obligation du justiciable de payer les services qu’il requiert de l’Etat (ATF 135 I 221 consid. 5.1 ; TF 4A_537/2013 du 29 novembre 2013 consid. 4.1 ; TF 5A_810/2011 du 7 février 2012 consid. 2.3). De manière générale, il n’est tenu compte des dettes que lorsque le requérant établit qu’il les rembourse par acomptes réguliers (TF 4A_48/2021 du 21 juin 2021 consid. 3.1 ; TF 4D_69/2016 du 28 novembre 2016 consid. 5.7.3).</w:t>
      </w:r>
    </w:p>
    <w:p>
      <w:r>
        <w:rPr>
          <w:b/>
        </w:rPr>
        <w:t>E. 3.3.1</w:t>
      </w:r>
    </w:p>
    <w:p>
      <w:r>
        <w:t>La recourante reproche tout d’abord au premier juge de s’être fondé sur les chiffres ressortant de sa déclaration d’impôts pour l’année 2020, que ceux-ci ne sont plus d’actualité, dès lors qu’elle a produit sa déclaration d’impôts pour l’année 2021 à l’appui de sa demande d’assistance judiciaire du 17 juin 2022, et que, selon ce document, sa fortune s’élevait, au 31 décembre 2021, à 69’205 fr. et ses dettes à 31’985 francs. Elle ajoute que sa fortune serait uniquement constituée de la valeur de rachat de son assurance-vie, que ses dettes comprendraient un prêt lié à son assurance-vie à hauteur de 30’000 fr. et que cette dette aurait désormais augmenté à 61’900 francs. Elle se prévaut à cet égard du courrier établi le 29 avril 2022 par [...] SA. En l’espèce, il est vrai, comme le fait valoir la recourante, qu’il y a lieu de se référer aux chiffres figurant dans sa déclaration d’impôts 2021 pour évaluer la question de sa situation financière, et non à sa déclaration d’impôts 2020. En tenant compte des chiffres les plus récents, on relève que l’intéressée bénéficie d’une fortune de 69’205 fr., constituée au moyen de son assurance-vie, et a des dettes privées, soit – « prêt Covid-19 » exclu –, de 31’985 francs. Le courrier du 29 avril 2022 produit par la recourante à l’appui de son recours fait certes état d’un prêt préexistant de 30’000 fr., ainsi que d’une augmentation de la dette à 61’900 francs. Cependant, cette pièce est irrecevable, de sorte qu’elle ne saurait être prise en considération. L’intéressée ne fournit par ailleurs aucun élément qui permettrait d’établir, ou à tout le moins rendre vraisemblable, qu’elle s’acquitterait de ses dettes, ou d’une partie de celles-ci, de manière régulière. Elle admet de surcroît elle-même que le prêt en question n’est pour le moment pas remboursé. Le fait qu’elle ait fait mention, dans le formulaire ad hoc complété au mois de juin 2022, de la remarque « intérêts à environ 50.- » relatif à cette dette ne prouve également rien à cet égard. En outre, un examen des relevés de compte n’apporte rien de plus sur ce point. Ainsi, dans la mesure où la recourante n’établit pas qu’elle s’acquitterait des dettes annoncées, il n’y a pas lieu d’en tenir compte. Par conséquent, force est de constater que la fortune de l’intéressée, d’un montant de 69’205 fr., dépasse largement sa réserve de recours, estimée pour la recourante elle-même à 25’000 fr., et qu’elle a donc des ressources financières suffisantes pour assumer les frais du procès.</w:t>
      </w:r>
    </w:p>
    <w:p>
      <w:r>
        <w:rPr>
          <w:b/>
        </w:rPr>
        <w:t>E. 3.3.2</w:t>
      </w:r>
    </w:p>
    <w:p>
      <w:r>
        <w:t>La recourante relève ensuite que sa fortune ne serait pas équivalente à la valeur brute de rachat de son assurance-vie et que, si elle résiliait cette assurance, elle percevrait le solde de la valeur de rachat après déduction de sa dette, soit un montant d’au maximum 7’305 fr. (69’205 fr. - 61’900 fr.). Elle constate ainsi que ce montant serait inférieur à celui d’économie ou de fortune admis par la jurisprudence du Tribunal fédéral à titre de réserve de secours, qu’elle évalue à 25’000 francs. Cela étant, le montant de 61’900 fr. avancé par la recourante, ainsi que le calcul précité, résultent uniquement du courrier de [...] SA du 29 avril 2022. Or, comme on l’a vu, cette pièce est irrecevable dans le cadre de la procédure de recours, de sorte que le montant de 61’900 fr. ne peut pas être pris en compte. Le calcul concerné ne repose donc sur aucun élément au dossier. Il s’ensuit que l’intéressée dispose, comme cela a été développé ci-dessus (cf. consid. 3.3.1), d’une fortune suffisante, en plus de la réserve, pour assumer les frais du procès.</w:t>
      </w:r>
    </w:p>
    <w:p>
      <w:r>
        <w:rPr>
          <w:b/>
        </w:rPr>
        <w:t>E. 3.3.3</w:t>
      </w:r>
    </w:p>
    <w:p>
      <w:r>
        <w:t>La recourante expose enfin que la présente procédure serait complexe et coûteuse, de sorte que le montant qui pourrait, selon elle, au mieux être utilisé pour payer les frais judiciaires et les honoraires d’avocat, soit 14’205 fr. (69’205 fr. - [30’000 fr. de dettes + 25’000 fr. de réserve de secours]) », ne serait pas suffisant. La recourante se limite toutefois à dire que la procédure comporterait de nombreux volets, mais n’expose pas en quoi celle-ci serait complexe et coûteuse. La procédure n’en est en effet qu’au stade de conciliation et porte sur l’annulation d’une décision de l’assemblée générale d’une propriété par étages. En outre, à la lecture des allégués de la requête, elle ne paraît pas particulièrement complexe, ni en fait ni en droit. Ainsi, à ce stade, aucun élément n’indique que le montant de 14’205 fr. allégué ne serait pas suffisant pour couvrir les frais judiciaires et les honoraires de son conseil.</w:t>
      </w:r>
    </w:p>
    <w:p>
      <w:r>
        <w:rPr>
          <w:b/>
        </w:rPr>
        <w:t>E. 3.3.4</w:t>
      </w:r>
    </w:p>
    <w:p>
      <w:r>
        <w:t>Au regard des éléments qui précèdent, la recourante ne parvient pas à démontrer sa situation d’indigence au sens de l’art. 117 let. a CPC, de sorte que c’est à juste titre que le premier juge a rejeté sa requête d’assistance judiciaire.</w:t>
      </w:r>
    </w:p>
    <w:p>
      <w:r>
        <w:rPr>
          <w:b/>
        </w:rPr>
        <w:t>E. 4</w:t>
      </w:r>
    </w:p>
    <w:p>
      <w:r>
        <w:t>En définitive, le recours, manifestement infondé, doit être rejeté selon l’art. 322 al. 1 in fine CPC et la décision entreprise confirmée. L’indigence n’étant pas rendue vraisemblable (art. 117 let. a CPC), la requête d’assistance judiciaire déposée par la recourante dans le cadre du présent recours doit être rejetée. Les frais judiciaires de deuxième instance, arrêtés à 100 fr. (art. 69 al. 3 TFJC [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D.________. V. L’arrêt est exécutoire. Le président :              Le greffier : Du L’arrêt qui précède, dont la rédaction a été approuvée à huis clos, est notifié à : ‑ Me Gloria Capt, avocate (pour D.________), - Mme D.________.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