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975 vom 7. November 2022</w:t>
      </w:r>
    </w:p>
    <w:p>
      <w:r>
        <w:t>VD Tribunal cantonal, 2022-11-07, FR</w:t>
      </w:r>
    </w:p>
    <w:p>
      <w:r>
        <w:rPr>
          <w:b/>
        </w:rPr>
        <w:t xml:space="preserve">Quelle: </w:t>
      </w:r>
      <w:r>
        <w:t>https://mcp.opencaselaw.ch/entscheid/vd_findinfo_HC___2022___975</w:t>
      </w:r>
    </w:p>
    <w:p>
      <w:r>
        <w:t>FR: VD_FINDINFO HC / 2022 / 975 du 7 novembre 2022</w:t>
      </w:r>
    </w:p>
    <w:p>
      <w:r>
        <w:t>IT: VD_FINDINFO HC / 2022 / 975 del 7 novembre 2022</w:t>
      </w:r>
    </w:p>
    <w:p>
      <w:pPr>
        <w:pStyle w:val="Heading2"/>
      </w:pPr>
      <w:r>
        <w:t>Regeste</w:t>
      </w:r>
    </w:p>
    <w:p>
      <w:r>
        <w:t>DÉPENS, DROIT D'ÊTRE ENTENDU, AVOCAT D'OFFICE, INDEMNITÉ{EN GÉNÉRAL} | 113 al. 1 CPC (CH), 122 al. 1 let. a CPC (CH), 198 CPC (CH)</w:t>
      </w:r>
    </w:p>
    <w:p>
      <w:pPr>
        <w:pStyle w:val="Heading2"/>
      </w:pPr>
      <w:r>
        <w:t>Erwägungen</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 e éd., Bâle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le litige porte sur une demande en modification de jugement de divorce. Une telle procédure est soumise à la procédure ordinaire (art. 219 et 284 al. 3 CPC). Il s'ensuit que le délai de recours contre la décision prenant acte du retrait de cette demande et statuant sur les frais de la procédure est de trente jours conformément à l’art. 321 al. 1 CPC.</w:t>
      </w:r>
    </w:p>
    <w:p>
      <w:r>
        <w:rPr>
          <w:b/>
        </w:rPr>
        <w:t>E. 2</w:t>
      </w:r>
    </w:p>
    <w:p>
      <w:r>
        <w:t>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 e éd., Bâle 2017, n. 26 ad art. 319 CPC). Elle revoit librement les questions de droit soulevées par le recourant et peut substituer ses propres motifs à ceux de l’autorité précédente ou du recourant (Hohl, Procédure civile, tome II, 2 e éd., Berne 2010, p. 452, n. 2508).</w:t>
      </w:r>
    </w:p>
    <w:p>
      <w:r>
        <w:rPr>
          <w:b/>
        </w:rPr>
        <w:t>E. 3</w:t>
      </w:r>
    </w:p>
    <w:p>
      <w:r>
        <w:t>Le recourant reproche à l’autorité précédente de ne pas avoir assimilé l’audience de conciliation prévue par l’art. 291 CPC à une procédure de conciliation au sens des art. 197 ss. CPC et partant de ne pas avoir appliqué l’art. 113 al. 1 CPC et renoncé à astreindre le recourant au versement de dépens.</w:t>
      </w:r>
    </w:p>
    <w:p>
      <w:r>
        <w:rPr>
          <w:b/>
        </w:rPr>
        <w:t>E. 3.1</w:t>
      </w:r>
    </w:p>
    <w:p>
      <w:r>
        <w:t>Aux termes de l’art. 113 al. 1 CPC, traitant des frais en procédure de conciliation, il n’est pas alloué de dépens pour cette dernière. L’indemnisation du conseil juridique commis d’office est réservée. Le recourant estime que cette disposition devrait également s’appliquer après une audience de conciliation au sens de l’art. 291 CPC, applicable par renvoi de l’art. 284 al. 3 CPC à la procédure de modification de jugement de divorce qu’il a intentée.</w:t>
      </w:r>
    </w:p>
    <w:p>
      <w:r>
        <w:rPr>
          <w:b/>
        </w:rPr>
        <w:t>E. 3.2</w:t>
      </w:r>
    </w:p>
    <w:p>
      <w:r>
        <w:t>Cette question n’a pas été expressément tranchée par le Tribunal fédéral, faute de valeur litigieuse suffisante. Celui-ci a toutefois relevé que l’art. 113 al. 1 CPC prévoyait qu’il n’était pas alloué de dépens de procédure de conciliation (dans le texte allemand : « Schlichtungsverfahren ») et que le recourant n’expliquait aucunement pour quelle raison cette disposition devrait également trouver application dans le cadre de la procédure de conciliation (dans le texte allemand : « Einigungsverhandlung ») au sens de l’art. 291 CPC (TF 5A_952/2015 du 17 juin 2016 consid. 5.3).</w:t>
      </w:r>
    </w:p>
    <w:p>
      <w:r>
        <w:rPr>
          <w:b/>
        </w:rPr>
        <w:t>E. 3.3</w:t>
      </w:r>
    </w:p>
    <w:p>
      <w:r>
        <w:t>En l’occurrence et comme le relève le recourant, l’audience de conciliation au sens de l’art. 291 CPC remplit plusieurs objectifs. Elle vise ainsi non seulement à tenter la conciliation entre les parties mais également à poser les jalons pour la poursuite de la procédure de divorce (ATF 138 III 366 consid 3.1.4 et 5D_14/2017 consid 3.3.3 [arrêt qui traitait – le recourant le passe sous silence – non pas de la présente problématique, mais de l’application d’un tarif cantonal en matière d’indemnisation d’avocat d’office]). L’audience de conciliation doit en outre également porter, lorsque le point est discuté, sur l’existence du motif de divorce, respectivement de modification de divorce (art. 291 al. 2 CPC). A cela s’ajoute que l’art. 198 let. c CPC a expressément exclu la procédure de conciliation (« Schlichtungsverfahren ») en cas de procédure de divorce et prévu une procédure spéciale où la conciliation serait tentée dans le cadre d’une « audience de conciliation » (dans le texte allemand : « Einigingsverhandlung »). Or on ne voit pas que le législateur ait prévu une procédure distincte pour la procédure de divorce, excluant expressément la procédure de conciliation au sens des art. 197 ss. CPC, pour néanmoins soumettre cette autre procédure aux règles applicables à la procédure de conciliation au sens des art. 197 ss. CPC. La volonté du législateur est d’ailleurs d’autant plus claire dans le texte allemand du CPC, dès lors qu’il a choisi d’utiliser des termes différents pour l’un et l’autre cas de figure. Enfin, on relève que l’art. 113 al. 1 CPC constitue une exception au principe de l’octroi des dépens, prévu dans le titre « Dispositions spéciales régissant les frais ». A ce titre, cette disposition doit être interprétée restrictivement. Elle ne saurait donc – alors qu’elle vise un type de procédure – s’appliquer à une cause dans laquelle ce type de procédure est expressément exclue et un autre système prévu. Il s’ensuit que le premier juge n’avait pas à appliquer l’art. 113 al. 1 CPC à la présente cause. Le recours est sur ce point infondé. Il l’est également s’agissant de l’interprétation à donner à l’art. 113 al. 1 CPC dès lors que cette disposition n’est pas applicable.</w:t>
      </w:r>
    </w:p>
    <w:p>
      <w:r>
        <w:rPr>
          <w:b/>
        </w:rPr>
        <w:t>E. 4</w:t>
      </w:r>
    </w:p>
    <w:p>
      <w:r>
        <w:t>A titre subsidiaire, le recourant se plaint de la quotité des dépens alloués.</w:t>
      </w:r>
    </w:p>
    <w:p>
      <w:r>
        <w:rPr>
          <w:b/>
        </w:rPr>
        <w:t>E. 4.1.1</w:t>
      </w:r>
    </w:p>
    <w:p>
      <w:r>
        <w:t>Il invoque en premier lieu une violation de son droit d’être entendu. Il fait valoir que l’argumentation du premier juge, consistant à invoquer les dispositions du TDC (tarif des dépens en matière civile du 23 novembre 2010 ; BLV 270.11.6) applicables en la matière, serait insuffisante pour lui permettre de comprendre les raisons qui ont conduit l’autorité intimée à arrêter la somme de 2'100 fr. à titre de dépens.</w:t>
      </w:r>
    </w:p>
    <w:p>
      <w:r>
        <w:rPr>
          <w:b/>
        </w:rPr>
        <w:t>E. 4.1.2</w:t>
      </w:r>
    </w:p>
    <w:p>
      <w:r>
        <w:t>En procédure civile, le droit d’être entendu trouve son expression à l’art. 53 al. 1 CPC, qui reprend la formulation générale de l’art. 29 al. 2 Cst. (Constitution fédérale de la Confédération suisse du 18 avril 1999 ; RS 101) (ATF 142 III 48 consid. 4.1.1). 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w:t>
      </w:r>
    </w:p>
    <w:p>
      <w:r>
        <w:rPr>
          <w:b/>
        </w:rPr>
        <w:t>E. 4.1.3</w:t>
      </w:r>
    </w:p>
    <w:p>
      <w:r>
        <w:t>En l’espèce, le premier juge a indiqué la nature du litige, le stade d’avancement de la procédure, le fait que le recourant avait retiré sa demande et les dispositions trouvant application. Cela suffit au vu des prérequis applicables en la matière, le fait d’avoir invoqué l’art. 4 TDC au lieu de l’art. 9 TDC ne fondant pas une violation du droit d’être entendu à cet égard. Le grief est par conséquent infondé.</w:t>
      </w:r>
    </w:p>
    <w:p>
      <w:r>
        <w:rPr>
          <w:b/>
        </w:rPr>
        <w:t>E. 4.2.1</w:t>
      </w:r>
    </w:p>
    <w:p>
      <w:r>
        <w:t>Le recourant invoque ne pas comprendre pour quelle raison les dépens de l’intimée s’avèrent supérieurs à l’indemnité d’office allouée au conseil de cette dernière.</w:t>
      </w:r>
    </w:p>
    <w:p>
      <w:r>
        <w:rPr>
          <w:b/>
        </w:rPr>
        <w:t>E. 4.2.2</w:t>
      </w:r>
    </w:p>
    <w:p>
      <w:r>
        <w:t>L’art. 122 al. 1 let. a CPC prévoit que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 7 ad art. 122 CPC, pp. 621- 622). L’avocat d’office a droit au remboursement intégral de ses débours s’inscrivant dans le cadre de l’accomplissement normal de sa tâche, plus à une indemnité s’apparentant aux honoraires d’un avocat de choix, mais qui peut être inférieure à ces honoraires (ATF 122 I 1 consid. 3a ; ATF 117 la 22 consid. 4a). L’indemnité doit non seulement couvrir les frais généraux de l’avocat, mais aussi lui permettre de réaliser un gain modeste et non seulement symbolique (ATF 132 I 201 consid. 8.6).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L'indemnité équitable, pour un avocat, doit au minimum être de 180 fr. par heure en moyenne suisse, des situations particulières dans les cantons pouvant justifier un montant plus haut ou plus bas (ATF 141 I 124 consid. 3.2 ; TF 5D_4/2016 du 26 février 2016 consid. 4.3.2 ; TF 5D_149/2016 du 30 janvier 2017 consid. 3.2). Les tarifs horaires de 180 fr., respectivement 110 fr., plus TVA et débours applicables à l'avocat breveté et à l'avocat-stagiaire selon le RAJ satisfont aux exigences du droit fédéral (ATF 137 III 185 consid. 5.4 et 6 ; TF 4D_276/2020 du 20 mai 2021 consid. 4.2).</w:t>
      </w:r>
    </w:p>
    <w:p>
      <w:r>
        <w:rPr>
          <w:b/>
        </w:rPr>
        <w:t>E. 4.2.3</w:t>
      </w:r>
    </w:p>
    <w:p>
      <w:r>
        <w:t>Pour le surplus, vu la cause, vu également les opérations effectuées à ce titre qui résultent d’une part du dossier, d’autre part de la liste des opérations du conseil de l’intimée – toutes jugées justifiées par le premier juge –, l’octroi de dépens de 2'100 fr., qui se trouvent manifestement dans la fourchette de 600 à 50'000 fr. prévue par l’art.</w:t>
      </w:r>
    </w:p>
    <w:p>
      <w:r>
        <w:rPr>
          <w:b/>
        </w:rPr>
        <w:t>E. 9</w:t>
      </w:r>
    </w:p>
    <w:p>
      <w:r>
        <w:t>TDC, même compte tenu des art. 19 (débours nécessaires) et 20 TDC (disproportion manifeste entre la valeur litigieuse et l’intérêt des parties au procès ou entre le taux applicable selon le tarif et le travail effectif de l’avocat), ne procède pas d’un excès ou d’un abus du pouvoir d’appréciation laissé au premier juge en la matière. Compte tenu des heures effectuées (7 h. 25), les dépens alloués correspondent à un tarif horaire d’environ 280 fr., soit un tarif sensiblement inférieur au tarif horaire de l’ordre de 350 fr. usuellement admis pour des avocats exerçant dans le canton de Vaud. Le grief est lui aussi infondé. 5. 5.1 En conclusion, le recours, manifestement mal fondé, doit être rejeté selon le mode procédural de l’art. 322 al. 1 CPC, et la décision attaquée confirmée. 5.2 Les frais judiciaires de deuxième instance, arrêtés à 200 fr. (art. 69 al. 1 et 70 al. 3 TFJC (tarif des frais judiciaires civils du 28 septembre 2010 ; BLV 270.11.5), seront mis à la charge du recourant, qui succombe entièrement (art. 106 al. 1 CPC) et qui en a déjà fait l’avance. Il n’y a pas lieu d’allouer des dépens de deuxième instance, l’intimée n’ayant pas été invitée à procéder.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A.A.________. IV. L’arrêt est exécutoire. Le président :               La greffière : Du L'arrêt qui précède, d ont la rédaction a été approuvée à huis clos, est notifié à : ‑ Me Christian Dénériaz (pour A.A.________, ‑ Me Stéphanie Cacciatore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