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951 vom 7. Dezember 2022</w:t>
      </w:r>
    </w:p>
    <w:p>
      <w:r>
        <w:t>VD Tribunal cantonal, 2022-12-07, FR</w:t>
      </w:r>
    </w:p>
    <w:p>
      <w:r>
        <w:rPr>
          <w:b/>
        </w:rPr>
        <w:t xml:space="preserve">Quelle: </w:t>
      </w:r>
      <w:r>
        <w:t>https://mcp.opencaselaw.ch/entscheid/vd_findinfo_HC___2022___951</w:t>
      </w:r>
    </w:p>
    <w:p>
      <w:r>
        <w:t>FR: VD_FINDINFO HC / 2022 / 951 du 7 décembre 2022</w:t>
      </w:r>
    </w:p>
    <w:p>
      <w:r>
        <w:t>IT: VD_FINDINFO HC / 2022 / 951 del 7 dicembre 2022</w:t>
      </w:r>
    </w:p>
    <w:p>
      <w:pPr>
        <w:pStyle w:val="Heading2"/>
      </w:pPr>
      <w:r>
        <w:t>Regeste</w:t>
      </w:r>
    </w:p>
    <w:p>
      <w:r>
        <w:t>PROTECTION DE L'UNION CONJUGALE, OBLIGATION D'ENTRETIEN, CONJOINT, ACTION EN MODIFICATION, MODIFICATION DES CIRCONSTANCES | 179 al. 1 CC, 229 al. 3 CPC (CH)</w:t>
      </w:r>
    </w:p>
    <w:p>
      <w:pPr>
        <w:pStyle w:val="Heading2"/>
      </w:pPr>
      <w:r>
        <w:t>Erwägungen</w:t>
      </w:r>
    </w:p>
    <w:p>
      <w:r>
        <w:rPr>
          <w:b/>
        </w:rPr>
        <w:t>E. 1.1.1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 TF 5A_356/2020 du 9 juillet 2020 consid. 3.2 ; TF 4A_218/2017 du 14 juillet 2017 consid. 3.1.2 ; TF 4A_290/2014 du 1 er septembre 2014 consid. 3.1, publié in RSPC 2015 p. 52).</w:t>
      </w:r>
    </w:p>
    <w:p>
      <w:r>
        <w:rPr>
          <w:b/>
        </w:rPr>
        <w:t>E. 1.2</w:t>
      </w:r>
    </w:p>
    <w:p>
      <w:r>
        <w:t>En l’espèce, l’appel a été interjeté en temps utile contre une ordonnance de mesures protectrices de l’union conjugale par une partie qui a un intérêt digne de protection (art. 59 al. 2 let. a CPC) et porte sur des conclusions patrimoniales qui, capitalisées selon l’art. 92 al. 2 CPC, sont supérieures à 10'000 francs. L’intimée soutient que l’appel serait irrecevable en raison de son « imprécision manifeste et de sa motivation lacunaire ». Selon elle, l’appelant critiquerait de manière très sommaire et à peine compréhensible l’appréciation de l’autorité précédente s’agissant de sa perte d’emploi. Force est toutefois de constater que l’appel satisfait aux exigences de motivation telles que rappelées ci-dessus. En effet, on comprend clairement que l’appelant fait grief au président de ne pas avoir tenu compte de sa diminution de revenu liée à son changement d’emploi (licenciement par X.________ SA puis engagement par H.________ SA) pour juger de sa requête de modification de la contribution due pour l’entretien de l’intimée, sur laquelle il aurait dû entrer en matière. Il explique par ailleurs pour quelle raison cette circonstance, survenue en cours d’instruction, aurait dû être prise en considération et l’impact que cela a sur sa capacité à contribuer à l’entretien de l’intimée. Nul n’est besoin d’entreprendre une démonstration sur plusieurs dizaines de pages pour énoncer un tel grief, ce d’autant que la motivation de l’ordonnance sur la question litigieuse est relativement sommaire. Il s’ensuit que l’appel est recevable. En revanche, on constate que dans sa réponse, l’intimée s’est déterminée bien au-delà de ce qui était nécessaire pour répondre aux griefs soulevés par l’appelant. Il n’appartient pas à la Cour de céans d’examiner la multitude de moyens invoqués par l’intimée en tant qu’ils ont trait à des questions qui n’ont pas été soulevées dans l’appel, voire dans l’ordonnance querellée, étant rappelé que l’intéressée n’a pas fait appel de cette décision. Il faut également relever que dans ses conclusions subsidiaires, l’intimée a pris des conclusions actives de nature constatatoire, qui – pour autant que de telles conclusions soient admissibles en tant que telles – s’avèrent irrecevables dès lors qu’elle n’a elle-même pas fait appel de l’ordonnance et que l’appel joint est irrecevable en procédure sommaire (art. 314 al. 2 CPC).</w:t>
      </w:r>
    </w:p>
    <w:p>
      <w:r>
        <w:rPr>
          <w:b/>
        </w:rPr>
        <w:t>E. 2</w:t>
      </w:r>
    </w:p>
    <w:p>
      <w:r>
        <w:t>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w:t>
      </w:r>
    </w:p>
    <w:p>
      <w:r>
        <w:rPr>
          <w:b/>
        </w:rPr>
        <w:t>E. 2.3</w:t>
      </w:r>
    </w:p>
    <w:p>
      <w:r>
        <w:t>in limine ; TF 5A_71/2018 du 12 juillet 2018 consid. 4.2 et les références citées).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137 III 617 consid. 5.2, JdT 2014 II 187 ; TF 5A_855/2017 du 11 avril 2018 consid. 4.3.2 et les références citées).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w:t>
      </w:r>
    </w:p>
    <w:p>
      <w:r>
        <w:rPr>
          <w:b/>
        </w:rPr>
        <w:t>E. 3.1</w:t>
      </w:r>
    </w:p>
    <w:p>
      <w:r>
        <w:t>L’intimée a produit des pièces et requiert des mesures d’instruction en appel.</w:t>
      </w:r>
    </w:p>
    <w:p>
      <w:r>
        <w:rPr>
          <w:b/>
        </w:rPr>
        <w:t>E. 3.2.1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 ; TF 5A_392/2021 du 20 juillet 2021 consid. 3.4.1.2). S'agissant des pseudo nova ,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Le plaideur qui fait valoir des pseudo nova devant l'instance d'appel doit exposer précisément les raisons pour lesquelles il ne les a pas invoquées en première instance (ATF 143 III 42 consid. 4.1, JdT 2017 II 342, SJ 2017 I 460 ; TF 4A_193/2021 du 7 juillet 2021 consid. 3.1). L'art. 317 al. 1 CPC régit de manière complète et autonome la possibilité pour les parties d'invoquer des faits et moyens de preuve nouveaux, y compris lorsque la maxime inquisitoire simple est applicable (ATF 138 III 625 consid. 2.2).</w:t>
      </w:r>
    </w:p>
    <w:p>
      <w:r>
        <w:rPr>
          <w:b/>
        </w:rPr>
        <w:t>E. 3.2.2</w:t>
      </w:r>
    </w:p>
    <w:p>
      <w:r>
        <w:t>Conformément à l'art. 316 al. 3 CPC, l'instance d'appel peut administrer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 ATF 138 III 374 consid. 4.3.2 ; TF 5A_695/2020 du 26 avril 2021 consid. 3.2.2 ; TF 5A_583/2016 du 4 avril 2017 consid. 3.1.2.2 ; TF 5A_86/2016 du 5 septembre 2016 consid. 3.1).</w:t>
      </w:r>
    </w:p>
    <w:p>
      <w:r>
        <w:rPr>
          <w:b/>
        </w:rPr>
        <w:t>E. 3.3</w:t>
      </w:r>
    </w:p>
    <w:p>
      <w:r>
        <w:t>En l’espèce, les pièces 101 à 103 de l’intimée sont des pièces dites de forme, de sorte qu’elles sont recevables. Les pièces 104 à 106 sont recevables dès lors qu’il s’agit d’extraits du Registre du commerce librement accessibles sur Internet (ATF 138 II 557 consid. 6.2 ; TF 5A_168/2018 du 17 janvier 2019 consid. 2.4). Quant aux pièces 107 à 110 en lien avec les activités de l’appelant au sein de X.________ SA et de [...], respectivement en lien avec l’activité de ces sociétés, la question de leur recevabilité peut demeurer ouverte, ces titres n’étant pas décisifs pour l’issue du litige. S’agissant enfin des réquisitions de production de pièces de l’intimée, elles ne sont pas davantage pertinentes pour juger de l’appel et seront dès lors rejetées.</w:t>
      </w:r>
    </w:p>
    <w:p>
      <w:r>
        <w:rPr>
          <w:b/>
        </w:rPr>
        <w:t>E. 4.1</w:t>
      </w:r>
    </w:p>
    <w:p>
      <w:r>
        <w:t>et les références citées), car la procédure de modification n'a pas pour but de corriger le premier jugement, mais de l'adapter aux circonstances nouvelles (ATF 141 III 376 consid. 3.3.1 ; TF 5A_1035/2021 du 2 août 2022 consid. 3 ; TF 5A_895/2021 du 6 janvier 2022 consid. 5 ; TF 5A_329/2016 du 6 décembre 2016 consid. 3.1).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publié in FamPra.ch 2019 p. 599).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w:t>
      </w:r>
    </w:p>
    <w:p>
      <w:r>
        <w:rPr>
          <w:b/>
        </w:rPr>
        <w:t>E. 4.2.1</w:t>
      </w:r>
    </w:p>
    <w:p>
      <w:r>
        <w:t>Dans le cadre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5A_445/2014 du 28 août 2014 consid. 2.1 ; cf. également TF 4A_609/2021 du 5 juillet 2022 consid. 6.1).</w:t>
      </w:r>
    </w:p>
    <w:p>
      <w:r>
        <w:rPr>
          <w:b/>
        </w:rPr>
        <w:t>E. 4.2.2</w:t>
      </w:r>
    </w:p>
    <w:p>
      <w:r>
        <w:t>Dans le cadre d'une action en modification, le moment déterminant pour apprécier si des circonstances nouvelles se sont produites est la date du dépôt de la demande de modification. C'est donc à ce moment-là qu'il y a lieu de se placer pour déterminer le revenu et son évolution prévisible (ATF 137 III 604 consid. 4.1.1 ; ATF 120 II 285 consid. 4b ; TF 5A_190/2020 du 30 avril 2021 consid. 3). L'évolution prévisible de la situation doit être prise en considération (ATF 120 II 285 consid. 4b ; TF 5A_99/2011 du 26 septembre 2011 consid. 4.1.1). Partant, si l'on peut admettre qu'il faille tenir compte de circonstances nouvelles jusqu'à la fin de la procédure probatoire de première instance, il n'en va pas de même sans autre ultérieurement (TF 5A_831/2010 du 14 novembre 2011 consid. 2.3., rés. in RMA 2012 p. 103).</w:t>
      </w:r>
    </w:p>
    <w:p>
      <w:r>
        <w:rPr>
          <w:b/>
        </w:rPr>
        <w:t>E. 4.3</w:t>
      </w:r>
    </w:p>
    <w:p>
      <w:r>
        <w:t>En l'espèce, lors de la reprise d’audience du 4 avril 2022, d’entrée de cause, l’appelant a déposé des pièces concernant son licenciement du 31 mars 2022 et a modifié les conclusions de sa requête en raison de cette circonstance, en ce sens que la pension due à l’intimée devait être supprimée. Ces faits et moyens de preuve nouveaux ont été régulièrement introduits en première instance au regard des exigences de l’art. 229 al. 3 CPC. En effet, il résulte du procès-verbal de ladite audience que l’instruction a été clôturée à l’issue de celle-ci, avant qu’il soit passé aux plaidoiries. Ces éléments nouveaux ont ainsi été introduits avant les délibérations et sont ainsi recevables. C’est donc à juste titre que l’autorité précédente les a retenus en fait. Dès lors qu’il s’agissait de nova recevables, le président aurait dû en tenir compte pour examiner en droit si la situation de l’appelant s’était modifiée notablement et durablement depuis la conclusion de la convention du 3 mars 2021, et non se borner à constater qu’il n’y avait pas de changement dans la situation de l’intéressé au moment du dépôt de la requête du 4 octobre 2021. Il faut en effet tenir compte de circonstances nouvelles jusqu’à la fin de la procédure probatoire de première instance, intervenue à l’issue de l’audience du 4 avril 2022. En soutenant que ces faits et moyens de preuve nouveaux ne pourraient pas être pris en compte au motif qu’en application du principe de libre disposition régissant la contribution entre époux, l’appelant aurait été lié par ses faits et moyens de preuves invoqués dans son acte du 4 octobre 2021 et lors de l’audience d’instruction du 4 janvier 2022, l’intimée perd de vue qu’il s’agissait d’une procédure de mesures protectrices de l’union conjugale, dont l’instruction selon la procédure sommaire ne se termine en principe qu’au terme de la clôture de l’instruction à l’audience, intervenue à l’issue de l’audience du 4 avril 2022. Comme déjà exposé, les faits et moyens de preuve nouveaux invoqués par l’appelant à l’audience précitée devaient être admis selon l’art. 229 al. 3 CPC. Par ailleurs, dans la mesure où l’intimée a pu se déterminer sur ces éléments lors de ladite audience, on ne voit pas en quoi son droit d’être entendu aurait été « bafoué » comme elle le prétend. Il n’y avait pas davantage matière à ordonner un échange d’écritures à ce sujet, s’agissant d’une procédure sommaire que le législateur a voulu simple et rapide. L’intimée remet également en cause la possibilité d’examiner ces faits et moyens de preuve nouveaux en procédure d’appel, faute d’allégation précise et motivée, notamment en prouvant la perte de revenu de l’appelant. Ce moyen est inopérant dès lors que si les éléments en question ont été valablement introduits en première instance et devaient ainsi être retenus par l’autorité précédente, ils peuvent être examinés également en deuxième instance. Il s’ensuit que la circonstance du licenciement de l’appelant doit être prise en compte pour examiner s’il existe des faits nouveaux justifiant de modifier la pension de l’intimée fixée dans la convention du 30 mars 2021.</w:t>
      </w:r>
    </w:p>
    <w:p>
      <w:r>
        <w:rPr>
          <w:b/>
        </w:rPr>
        <w:t>E. 5.1</w:t>
      </w:r>
    </w:p>
    <w:p>
      <w:r>
        <w:t>Dans un second moyen, l’appelant fait valoir qu’en raison de son licenciement par X.________ SA et de sa nouvelle activité auprès de H.________ SA, son revenu mensuel net ne serait plus que de 5'200 fr., soit un montant insuffisant pour couvrir ses charges de 6'179 francs. L’autorité précédente aurait ainsi dû admettre sa requête de suppression de la pension due à l’intimée. L’intimée objecte en substance que la modification invoquée par l’appelant, en lien avec le fait qu’il a repris son emploi salarié moins bien rémunéré auprès de H.________ SA après avoir été licencié de X.________ SA, n’aurait pas été imprévisible lors de la conclusion de la convention du 30 mars 2021 et aurait alors été envisagée par l’intéressé.</w:t>
      </w:r>
    </w:p>
    <w:p>
      <w:r>
        <w:rPr>
          <w:b/>
        </w:rPr>
        <w:t>E. 5.2</w:t>
      </w:r>
    </w:p>
    <w:p>
      <w:r>
        <w:t>Une fois que des mesures protectrices de l'union conjugale ou des mesures provisionnelles dans la procédure de divorce ont été prononcées, elles ne peuvent être modifiées qu'aux conditions de l'art. 179 CC – applicable directement pour les premières, par renvoi de l'art. 276 al. 1 CPC pour les secondes (TF 5A_617/2017 du 28 septembre 2017 consid. 3.1). Aux termes de l'art. 179 al. 1 1 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5A_501/2018 du 22 novembre 2018 consid. 2 ; TF 5A_617/2017 du 28 septembre 2017 consid. 3.1 ; TF 5A_842/2015 du 26 mai 2016 consid. 2.4.2, non publié à l'ATF 142 III 518).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141 III 376 consid. 3.3.1 ; ATF 131 III 189 consid. 2.7.4, JdT 2005 I 324 ; TF 5A_378/2021 du 7 septembre 2022 consid. 3 ; TF 5A_400/2018 du 28 août 2018 consid. 3 ; TF 5A_64/2018 du 14 août 2018 consid. 3.1).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publié in FamPra.ch 2020 p. 177).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(TF 5A_15/2014 du 28 juillet 2014 consid. 3 ; TF 5A_245/2013 du 24 septembre 2013 consid. 3.1 ; TF 5A_400/2012 du 25 février 2013 consid.</w:t>
      </w:r>
    </w:p>
    <w:p>
      <w:r>
        <w:rPr>
          <w:b/>
        </w:rPr>
        <w:t>E. 5.3</w:t>
      </w:r>
    </w:p>
    <w:p>
      <w:r>
        <w:t>En l’espèce, lors de l’audience du 30 mars 2021 à l’issue de laquelle la convention litigieuse a été conclue, l’appelant, interrogé à forme de l’art. 191 CPC, a déclaré qu’il travaillait alors pour X.________ SA pour un revenu mensuel net de 8'500 fr. versé treize fois l’an et qu’il continuait également de travailler pour H.________ SA – société pour laquelle il travaillait déjà avant d’œuvrer pour la première citée – mais qu’il ne percevait aucun revenu pour cette activité. Il a expliqué à ce sujet qu’il était dans une « période transitoire » en ce sens que, soit l’activité de X.________ SA décollait d’ici fin mai et il quitterait alors H.________ SA qui était déjà gérée par son employé, ce qui expliquait pourquoi il ne gagnait plus de revenu de cette dernière société, soit cela ne marchait pas et il s’occuperait dès lors personnellement de H.________ SA. En d’autres termes, lorsque la pension en faveur de l’intimée a été définie le 30 mars 2021, l’appelant avait déjà pour projet, au cas où l’activité de X.________ SA ne marchait pas, de reprendre l’activité salariée qu’il exerçait précédemment auprès de H.________ SA. Les déclarations faites par l’appelant lors de l’audience du 4 janvier 2022 confirment qu’il avait toujours été question d’une incertitude quant au succès de l’activité de X.________ SA et de la solution de retourner travailler pour le compte de H.________ SA en cas de déconvenue. L’intéressé a en effet exposé avoir « toujours gardé H.________ SA au cas où X.________ SA ne marcherait pas », que « si cela ne devait pas marcher, [il] arrêterai[t] de travailler auprès de X.________ SA et [il] retournerai[t] travailler chez H.________ SA » et que « dans ce cas [s]on salaire ne sera[it] plus celui [qu’il avait] exposé à 8'500 francs ». Le fait que le 31 mars 2022, soit le jour-même de son licenciement par X.________ SA, l’appelant écrivait déjà à l’autorité précédente qu’il allait reprendre son activité auprès de H.________ SA dès le lendemain 1 er avril 2022 en renonçant à son délai de congé – lors duquel il n’aurait pas été payé car X.________ SA n’en aurait pas eu les moyens selon ses déclarations du 4 avril 2022 – confirme également que la solution de retourner immédiatement auprès de H.________ SA en cas d’échec du projet de X.________ SA était déjà prévue dès le début. Compte tenu de ces éléments, il se justifie de retenir qu’au moment de la signature de la convention du 30 mars 2021, l’appelant n’ignorait pas, d’une part, que son activité au sein de X.________ SA n’était pas certaine de durer et dépendait de l’éventuel succès de cette société et, d’autre part, qu’il disposait d’une possibilité de reprise de son activité salariée, moins bien rémunérée, auprès de H.________ SA en cas d’échec. Il s’ensuit que la baisse de salaire en lien avec la reprise de l’activité salariée auprès de H.________ SA consécutive à la fin de l’activité auprès de X.________ SA n’était pas imprévisible lors de la conclusion de l’accord du 30 mars 2021, l’appelant ayant alors eu conscience de cette possibilité de modification. Il y a dès lors lieu de considérer que la pension due en faveur de l’intimée a été définie le 30 mars 2021 en tenant compte de la situation incertaine de la poursuite de l’activité pour le compte de X.________ SA et de la possibilité pour l’appelant de travailler à nouveau pour H.________ SA avec la baisse de salaire que cela allait impliquer. Conformément aux principes rappelés ci-dessus, la circonstance invoquée par l’appelant ne constitue donc pas un fait nouveau au sens de l’art. 179 al. 1 1 re phr. CC, de sorte que c’est à juste titre de que l’autorité précédente a rejeté sa requête de modification de la pension due à l’intimée.</w:t>
      </w:r>
    </w:p>
    <w:p>
      <w:r>
        <w:rPr>
          <w:b/>
        </w:rPr>
        <w:t>E. 6.1</w:t>
      </w:r>
    </w:p>
    <w:p>
      <w:r>
        <w:t>En définitive, l’appel doit être rejeté et l’ordonnance confirmée.</w:t>
      </w:r>
    </w:p>
    <w:p>
      <w:r>
        <w:rPr>
          <w:b/>
        </w:rPr>
        <w:t>E. 6.2</w:t>
      </w:r>
    </w:p>
    <w:p>
      <w:r>
        <w:t>Vu l’issue de l’appel, les frais judiciaires de deuxième instance, arrêtés à 600 fr. (art. 65 al. 2 TFJC [Tarif des frais judiciaires civils du 28 septembre 2010 ; BLV 270.11.5]), seront mis à la charge de l’appelant (art. 106 al. 1 CPC). Les pleins dépens de deuxième instance normalement dus à l’intimée doivent être arrêtés à 2'200 fr. (art. 7 TDC [Tarif des dépens en matière civile du 23 novembre 2010 ; BLV 270.11.6]). Toutefois, il se justifie de réduire d’un quart les dépens auxquels l’intéressée a droit pour tenir compte du rejet des moyens invoqués à l’appui de sa conclusion principale en irrecevabilité de l’appel et de l’irrecevabilité d’une partie de ses conclusions subsidiaires. Partant, l’appelant devra verser à l’intimée la somme de 1'650 fr. à titre de dépens réduits de deuxième instance.</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w:t>
      </w:r>
    </w:p>
    <w:p>
      <w:r>
        <w:rPr>
          <w:b/>
        </w:rPr>
        <w:t>E. 6.3.2</w:t>
      </w:r>
    </w:p>
    <w:p>
      <w:r>
        <w:t>Le conseil d’office de l’intimée a indiqué dans sa liste des opérations du 27 octobre 2022 avoir consacré 13.85 heures au dossier, à savoir 1.42 heures effectuées par lui-même et 12.43 heures effectuées par un avocat-stagiaire, et a revendiqué des débours à hauteur de 25 fr. 50. Compte tenu de la connaissance préalable du dossier de première instance par le conseil d’office, il ne se justifie pas de rémunérer l’opération « Révision du dossier de première instance, en particulier des écritures et des pièces produites et requises (MS) » comptabilisée le 29 septembre 2021 à raison de 1 heure de travail d’avocat-stagiaire. Ensuite, on constate que les opérations en lien avec l’élaboration de la réponse à l’appel, recherches juridiques comprises, et du bordereau de pièces a nécessité un total de 10.5 heures de travail, à savoir 9.5 heures effectuées par l’avocat-stagiaire et 1 heure de travail de relecture par le conseil d’office (opérations des 29 et 30 septembre, ainsi que du 3 octobre 2021). Vu les points soulevés dans l’appel, cette durée est excessive, étant rappelé que plusieurs éléments évoqués dans la réponse sont irrecevables car ils sortent du cadre d’une détermination sur les moyens invoqués par l’appelant. En outre, la confection d’un bordereau de pièces relève d’un travail de pur secrétariat et n’a pas à être supportée par l’assistance judiciaire (CREC 4 février 2016/40). A cela s’ajoute que le temps consacré par le conseil d’office à la relecture des écritures rédigées par son stagiaire n’est pas admissible, la formation de l’avocat-stagiaire n’ayant pas à être rémunérée par le bénéficiaire de l’assistance judiciaire, respectivement l’Etat (CACI 31 janvier 2022/45 ; Juge unique CACI 27 avril 2020/168). On retiendra ainsi une durée admissible de 6 heures de travail d’avocat-stagiaire pour l’élaboration de la réponse, recherches juridiques comprises. En définitive, on retiendra un temps admissible consacré au dossier de 8.35 heures au total, à savoir 0.42 heure (1.42 - 1) de travail pour le conseil d’office et 7.93 heures (12.43 - 1 - 3.5) pour l’avocat-stagiaire. S’agissant des débours, on rappellera que l’art. 3bis al. 1 RAJ prévoit une rémunération forfaitaire de 2% du défraiement hors taxe en deuxième instance. Les débours seront ainsi rémunérés conformément à cette disposition, étant souligné que le conseil d’office ne fait valoir aucune circonstance exceptionnelle qui pourrait justifier d’arrêter les débours au montant supérieur de 25 fr. 50 qu’il revendique, ni ne présente une liste accompagnée de justificatifs de paiement (cf. art. 3bis al. 4 RAJ). Il s’ensuit qu’au tarif horaire de 180 fr., respectivement de 110 fr. pour les opérations effectuées par l’avocat-stagiaire, l’indemnité d’office de Me Jarry-Lacombe doit être fixée à 947 fr. 90 ([0.42 x 180 fr.] + [7.93 x 110 fr.]), montant auquel s’ajoutent les débours par 18 fr. 95 (2% de 947 fr. 90) et la TVA sur le tout par 74 fr. 45, soit à 1'041 fr. 30 au total.</w:t>
      </w:r>
    </w:p>
    <w:p>
      <w:r>
        <w:rPr>
          <w:b/>
        </w:rPr>
        <w:t>E. 6.4</w:t>
      </w:r>
    </w:p>
    <w:p>
      <w:r>
        <w:t>L’intimée, bénéficiaire de l’assistance judiciaire, est tenue au remboursement de l’indemnité de son conseil d’office provisoirement laissée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Les frais judiciaires de deuxième instance, arrêtés à 600 fr. (six cents francs), sont mis à la charge de l’appelant A.L.________. IV. L’appelant A.L.________ doit verser à l’intimée B.L.________ la somme de 1'650 fr. (mille six cent cinquante francs) à titre de dépens réduits de deuxième instance. V. L’indemnité de Me Céline Jarry-Lacombe, conseil d’office de l’intimée B.L.________, est arrêtée à 1'041 fr. 30 (mille quarante et un francs et trente centimes), débours et TVA compris. VI. L’intimée B.L.________, bénéficiaire de l’assistance judiciaire, est tenue au remboursement de l’indemnité de son conseil d’office provisoirement laissée à la charge de l’Etat, dès qu’elle sera en mesure de le faire. VII. L’arrêt est exécutoire. Le juge unique :               Le greffier : Du Le présent arrêt, dont la rédaction a été approuvée à huis clos, est notifié en expédition complète à : ‑ Me Regina Andrade (pour A.L.________), ‑ Me Céline Jarry-Lacombe (pour B.L.________),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