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900 vom 7. November 2022</w:t>
      </w:r>
    </w:p>
    <w:p>
      <w:r>
        <w:t>VD Tribunal cantonal, 2022-11-07, FR</w:t>
      </w:r>
    </w:p>
    <w:p>
      <w:r>
        <w:rPr>
          <w:b/>
        </w:rPr>
        <w:t xml:space="preserve">Quelle: </w:t>
      </w:r>
      <w:r>
        <w:t>https://mcp.opencaselaw.ch/entscheid/vd_findinfo_HC___2022___900</w:t>
      </w:r>
    </w:p>
    <w:p>
      <w:r>
        <w:t>FR: VD_FINDINFO HC / 2022 / 900 du 7 novembre 2022</w:t>
      </w:r>
    </w:p>
    <w:p>
      <w:r>
        <w:t>IT: VD_FINDINFO HC / 2022 / 900 del 7 novembre 2022</w:t>
      </w:r>
    </w:p>
    <w:p>
      <w:pPr>
        <w:pStyle w:val="Heading2"/>
      </w:pPr>
      <w:r>
        <w:t>Regeste</w:t>
      </w:r>
    </w:p>
    <w:p>
      <w:r>
        <w:t>CAS CLAIR, SOUS-LOCATION, RÉSILIATION ANTICIPÉE | 257f al. 3 CO, 257 CPC (CH)</w:t>
      </w:r>
    </w:p>
    <w:p>
      <w:pPr>
        <w:pStyle w:val="Heading2"/>
      </w:pPr>
      <w:r>
        <w:t>Erwägungen</w:t>
      </w:r>
    </w:p>
    <w:p>
      <w:r>
        <w:rPr>
          <w:b/>
        </w:rPr>
        <w:t>E. 1</w:t>
      </w:r>
    </w:p>
    <w:p>
      <w:r>
        <w:t>Aux termes de l'art. 319 let. a CPC, le recours est recevable contre les décisions finales de première instance qui ne peuvent pas faire l'objet d'un appel. Dans les causes patrimoniales, la voie de l'appel est ouverte si la valeur litigieuse au dernier état des conclusions est d’au moins 10'000 fr. (art. 308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 CREC 4 novembre 2022/247). Le recours doit être interjeté dans les dix jours à compter de la notification de la décision motivée, le litige étant soumis à la procédure sommaire (art. 248 let. b et 321 al. 2 CPC). En l’espèce, le litige ne porte que sur la question de l’expulsion, le congé n’ayant pas été contesté (cf. art. 273 al. 1 CO). Au vu des loyers des locaux concernés, la voie du recours est ouverte contre le jugement entrepris. Déposé en temps utile, contre une décision finale de première instance dont la valeur litigieuse est inférieure à 10'000 fr., par une partie au bénéfice d’un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nn. 2 et 3 ad art. 320 CPC ; Spühler, Basler Kommentar, Schweizerische Zivilprozessordnung,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w:t>
      </w:r>
    </w:p>
    <w:p>
      <w:r>
        <w:rPr>
          <w:b/>
        </w:rPr>
        <w:t>E. 3.1</w:t>
      </w:r>
    </w:p>
    <w:p>
      <w:r>
        <w:t>La recourante soutient qu’au regard des circonstances, soit le fait que l’intimée n’a pas d’adresse connue et qu’elle a quitté la Suisse il y a plus de treize ans, et que l’intimé a acquiescé aux conclusions de la requête, un avertissement n’était pas nécessaire avant l’envoi de la résiliation du bail. La présidente aurait ainsi dû donner une suite favorable à sa requête de protection dans les cas clairs.</w:t>
      </w:r>
    </w:p>
    <w:p>
      <w:r>
        <w:rPr>
          <w:b/>
        </w:rPr>
        <w:t>E. 3.2.1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 d'un mois. Une sous-location sans le consentement du bailleur peut justifier une résiliation anticipée du bail au sens de cette disposition (ATF 134 III 300 consid. 3.1 ; TF 4a_140/2019 du 26 septembre 2019 consid. 4).</w:t>
      </w:r>
    </w:p>
    <w:p>
      <w:r>
        <w:rPr>
          <w:b/>
        </w:rPr>
        <w:t>E. 3.2.2</w:t>
      </w:r>
    </w:p>
    <w:p>
      <w:r>
        <w:t>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4.1 ; TF 4A_457/2013 du 4 février 2014 consid. 2 et les arrêts cités).</w:t>
      </w:r>
    </w:p>
    <w:p>
      <w:r>
        <w:rPr>
          <w:b/>
        </w:rPr>
        <w:t>E. 3.2.3</w:t>
      </w:r>
    </w:p>
    <w:p>
      <w:r>
        <w:t>La sous-location sans le consentement du bailleur réalise la condition de la violation du devoir de diligence incombant au locataire (première condition) dans deux situations : premièrement, si le bailleur a refusé son consentement à la sous-location et qu'il était en droit de le faire pour l'un des motifs de l'art. 262 al. 2 CO ; deuxièmement, si le locataire s'est abstenu de demander au bailleur l'autorisation de sous-louer et que celui-ci aurait disposé d'un motif valable au sens de l'art. 262 al. 2 CO pour s'opposer à la sous-location (ATF 134 III 300 consid. 3.1). Dans les deux cas, il faut que l'un des motifs visés à l'art. 262 al. 2 CO soit réalisé, que le locataire ait refusé de communiquer les conditions de la sous-location (let. a), ou que les conditions de la sous-location, comparées à celles du contrat de bail principal, soient abusives (let. b), ou que la sous-location présente pour le bailleur des inconvénients majeurs (let. c) (ATF 134 III 446 consid. 2.2 ; ATF 134 III 300 consid. 3.1 ; TF 4A_140/2019, déjà cité, consid. 4.1.1).</w:t>
      </w:r>
    </w:p>
    <w:p>
      <w:r>
        <w:rPr>
          <w:b/>
        </w:rPr>
        <w:t>E. 3.2.4</w:t>
      </w:r>
    </w:p>
    <w:p>
      <w:r>
        <w:t>La cinquième condition présuppose le respect d'un délai de congé minimum ( Frist von mindestens ) de trente jours pour la fin d'un mois. Si le bailleur ne résilie pas le bail dans le délai de trente jours pour la fin d'un mois, mais seulement pour le prochain terme contractuel en respectant le délai de congé contractuel, on ne saurait considérer que le maintien implicite du contrat jusqu'à l'échéance contractuelle, lui est insupportable au sens de la quatrième condition. On ne saurait parler non plus de résiliation « anticipée » au sens de cette disposition puisque le congé est donné pour le terme ordinaire selon l'art. 266a CO. Il ne faut pas confondre les causes ordinaires d'extinction du bail et les causes extraordinaires d'extinction de celui-ci (Tercier/Bieri/Carron, Les contrats spéciaux, 5 e éd. 2016, nn. 1921 ss). Le défaut de consentement à la sous-location pouvant justifier une résiliation ordinaire (cf. TF 4A_290/2015 du 9 septembre 2015 consid. 4) comme une résiliation (anticipée) extraordinaire de l'art. 257f al. 3 CO (ATF 134 III 300 consid. 3), la qualification de la résiliation ne dépend pas de la volonté subjective de celui qui l'a communiquée, mais du respect des conditions légales régissant ces deux types de résiliation (TF 4A_140/2019, déjà cité, consid. 4.1.5 ; TF 4A_347/2016 du 10 novembre 2016 consid. 3.1).</w:t>
      </w:r>
    </w:p>
    <w:p>
      <w:r>
        <w:rPr>
          <w:b/>
        </w:rPr>
        <w:t>E. 3.2.5</w:t>
      </w:r>
    </w:p>
    <w:p>
      <w:r>
        <w:t>Il appartient au bailleur de prouver la réalisation des conditions de l'art. 257f al. 3 CO. Lorsque ces conditions ne sont pas remplies, la résiliation anticipée est inefficace ; elle ne peut pas être convertie en une résiliation ordinaire (ATF 135 III 441 consid. 3.3). Toutefois, si seuls le délai ou l'échéance de la cinquième condition ne sont pas respectés, la résiliation n'est pas nulle, mais ses effets sont reportés au terme fixé par la loi (art. 266a al. 2 CO par analogie ; TF 4A_140/2019, déjà cité, consid. 4.2 ; TF 4A_347/2016, déjà cité, consid. 3.1.2 in fine et les réf. citées).</w:t>
      </w:r>
    </w:p>
    <w:p>
      <w:r>
        <w:rPr>
          <w:b/>
        </w:rPr>
        <w:t>E. 3.2.6</w:t>
      </w:r>
    </w:p>
    <w:p>
      <w:r>
        <w:t>L'avertissement écrit du bailleur doit indiquer précisément quelle violation il reproche au locataire, afin que celui-ci puisse rectifier son comportement (Higi, Commentaire zurichois, 3 e éd. 1994, n° 51 ad art. 257f CO). Seules des circonstances exceptionnelles justifient de priver le locataire d'une telle possibilité (TF 4A_655/2017 du 22 février 2018 consid. 3 ; TF 4A_162/2014 du 26 août 2014 consid. 2.2 ; TF 4A_456/2010 du 18 avril 2011 consid. 3.2, rés. très succinct in JdT 2012 II 110). Selon le Tribunal fédéral, la mise en demeure peut être abandonnée s'il apparaît d'emblée que la mesure est manifestement inutile (cf. TF 4A_456/2010 du 18 avril 2011 consid. 3.1 ; TF 4C.267/1994 du 10 janvier 1995 consid. 2a).</w:t>
      </w:r>
    </w:p>
    <w:p>
      <w:r>
        <w:rPr>
          <w:b/>
        </w:rPr>
        <w:t>E. 3.3</w:t>
      </w:r>
    </w:p>
    <w:p>
      <w:r>
        <w:t>Comme le relève à juste titre la recourante, l’intimée a quitté la Suisse il y a plus de treize ans. Par ailleurs, la sous-location litigieuse initiée par l’autre intimé le 1 er octobre 2012 n’est pas de son fait. Il s’ensuit que lui adresser, de plus à une adresse inconnue, une sommation pour qu’elle mette un terme à la sous-location – à laquelle elle n’est pas partie – d’un appartement qu’elle a quitté depuis des années et dont elle se désintéresse n’aurait eu aucun sens et aurait été manifestement dépourvu d’utilité. On se trouve ainsi dans un cas où la mise en demeure peut être abandonnée, puisqu’elle apparaît d'emblée manifestement inutile.</w:t>
      </w:r>
    </w:p>
    <w:p>
      <w:r>
        <w:rPr>
          <w:b/>
        </w:rPr>
        <w:t>E. 4.1</w:t>
      </w:r>
    </w:p>
    <w:p>
      <w:r>
        <w:t>Il en résulte que le recours doit être admis et que le jugement – qui se borne à trancher la question de la recevabilité de la requête – doit être annulé. L’objet limité de cette contestation ne permet pas à l’autorité de recours d’entrer en matière sur le fond et de se substituer à l’autorité de première instance, qui n’est pas entrée en matière sur la requête (art. 257 al. 3 CPC), en statuant sur l’expulsion. Le dossier de la cause lui sera ainsi renvoyé pour qu’elle entre en matière sur la requête en cas clair du 13 juillet 2022 de la recourante.</w:t>
      </w:r>
    </w:p>
    <w:p>
      <w:r>
        <w:rPr>
          <w:b/>
        </w:rPr>
        <w:t>E. 4.2</w:t>
      </w:r>
    </w:p>
    <w:p>
      <w:r>
        <w:t>Les frais judiciaires de deuxième instance, arrêtés à 400 fr. (art. 69 al. 1 TFJC [ tarif des frais judiciaires civils du 28 septembre 2010 ; BLV 270.11.5]), seront mis à la charge de l’intimé, qui a conclu au rejet du recours et qui succombe (art. 106 al. 1 CPC). Par équité, il convient de ne pas mettre de frais à la charge de l’intimée qui n’a joué aucun rôle dans cette affaire de sous-location et de résiliation. Vu l’issue du litige, l’intimé devra verser à la recourante la somme de 400 fr. à titre de restitution d’avance de frais (art. 111 al. 2 CPC).</w:t>
      </w:r>
    </w:p>
    <w:p>
      <w:r>
        <w:rPr>
          <w:b/>
        </w:rPr>
        <w:t>E. 4.3</w:t>
      </w:r>
    </w:p>
    <w:p>
      <w:r>
        <w:t>L’intimé versera à la recourante la somme de 1'100 fr. à titre de dépens de deuxième instance (art. 7 TDC [tarif des dépens en matière civile du 23 novembre 2010 ; BLV 270.11.6]). En définitive, l’intimé versera à la recourante la somme de 1'500 fr. à titre de remboursement d’avance de frais et de dépens de deuxième instance (art. 111 al. 2 CPC). Par ces motifs, la Chambre des recours civile du Tribunal cantonal, prononce : I. Le recours est admis. II. Le jugement est annulé et le dossier de la cause renvoyé à la Présidente du Tribunal des baux pour qu’elle entre en matière sur la requête déposée le 13 juillet 2022 par la recourante V.________. III. Les frais judiciaires de deuxième instance, arrêtés à 400 fr. (quatre cents francs), sont mis à la charge de l’intimé C.________. IV. L’intimé C.________ doit verser à la recourante V.________ la somme de 1'500 fr. (mille cinq cents francs) à titre de remboursement d’avance de frais et de dépens de deuxième instance. V. L’arrêt est exécutoire. Le président :               La greffière : Du L'arrêt qui précède, dont la rédaction a été approuvée à huis clos, est notifié à : ‑ Me Jérôme Bénédict (pour V.________), ‑ Me Gilles Davoine (pour C.________), Q.________, par voie édictale. La Chambre des recours civile considère que la valeur litigieuse est inférieure à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