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847 vom 18. Oktober 2022</w:t>
      </w:r>
    </w:p>
    <w:p>
      <w:r>
        <w:t>VD Tribunal cantonal, 2022-10-18, FR</w:t>
      </w:r>
    </w:p>
    <w:p>
      <w:r>
        <w:rPr>
          <w:b/>
        </w:rPr>
        <w:t xml:space="preserve">Quelle: </w:t>
      </w:r>
      <w:r>
        <w:t>https://mcp.opencaselaw.ch/entscheid/vd_findinfo_HC___2022___847</w:t>
      </w:r>
    </w:p>
    <w:p>
      <w:r>
        <w:t>FR: VD_FINDINFO HC / 2022 / 847 du 18 octobre 2022</w:t>
      </w:r>
    </w:p>
    <w:p>
      <w:r>
        <w:t>IT: VD_FINDINFO HC / 2022 / 847 del 18 ottobre 2022</w:t>
      </w:r>
    </w:p>
    <w:p>
      <w:pPr>
        <w:pStyle w:val="Heading2"/>
      </w:pPr>
      <w:r>
        <w:t>Regeste</w:t>
      </w:r>
    </w:p>
    <w:p>
      <w:r>
        <w:t>REJET DE LA DEMANDE, DROIT D'ÊTRE ENTENDU, CURATEUR, ENFANT | 29 al. 2 Cst., 299 CPC (CH)</w:t>
      </w:r>
    </w:p>
    <w:p>
      <w:pPr>
        <w:pStyle w:val="Heading2"/>
      </w:pPr>
      <w:r>
        <w:t>Erwägungen</w:t>
      </w:r>
    </w:p>
    <w:p>
      <w:r>
        <w:rPr>
          <w:b/>
        </w:rPr>
        <w:t>E. 1</w:t>
      </w:r>
    </w:p>
    <w:p>
      <w:r>
        <w:t>let. a LTF, dès lors que le défaut de curateur est susceptible d’influer sur le déroulement de la procédure au fond et sur son résultat, sans qu’il soit possible de remédier à d’éventuelles carences par un recours contre la décision au fond, dans laquelle l’enfant n’est au demeurant pas partie (ATF 147 III 451 consid. 1.2). Le recours doit être interjeté dans un délai de dix jours (art. 321 al. 2 CPC) devant la Chambre des recours civile (art. 73 al. 1 LOJV [loi vaudoise d'organisation judiciaire du 12 décembre 1979 ; BLV 173.01]).</w:t>
      </w:r>
    </w:p>
    <w:p>
      <w:r>
        <w:rPr>
          <w:b/>
        </w:rPr>
        <w:t>E. 1.1</w:t>
      </w:r>
    </w:p>
    <w:p>
      <w:r>
        <w:t>Le recours est dirigé contre la décision de la présidente refusant de désigner un curateur de représentation au sens de l’art. 299 CPC à l’enfant S.________. Une telle décision constitue une ordonnance d'instruction (CREC 22 septembre 2021/266 ; Jeandin, CPC commenté, Bâle 2011, n. 15 ad art. 299 CPC). Le recours de l'art. 319 let. b ch. 2 CPC est ouvert aux parents contre la décision refusant de désigner un curateur à leur enfant au sens de l'art. 299 CPC, pour autant qu’un préjudice difficilement réparable soit établi (CREC 23 mars 2022/82 ; cf. également Dietschy-Martenet, in Chabloz/Dietschy-Martenet/Heinzmann [édit.], Petit commentaire du Code de procédure civile, 2020 [PC-CPC], n. 19 ad art. 299 CPC). Le Tribunal fédéral a eu l’occasion de juger que la décision de rejet d’une requête tendant à la désignation d’un représentant est une décision incidente qui cause un préjudice irréparable au sens de l'art. 93 al.</w:t>
      </w:r>
    </w:p>
    <w:p>
      <w:r>
        <w:rPr>
          <w:b/>
        </w:rPr>
        <w:t>E. 1.2</w:t>
      </w:r>
    </w:p>
    <w:p>
      <w:r>
        <w:t>En l’espèce, déposé en temps utile par une partie disposant d’un intérêt digne de protection (art. 59 al. 2 let. a CPC), le recours, écrit et motivé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 citées). Le pouvoir d’examen de la Chambre des recours est donc limité à l’arbitraire s’agissant des faits retenus par l’autorité précédente (TF 4D_30/2017 du 5 décembre 2017 consid. 2.2 et les réf. citées).</w:t>
      </w:r>
    </w:p>
    <w:p>
      <w:r>
        <w:rPr>
          <w:b/>
        </w:rPr>
        <w:t>E. 3.1</w:t>
      </w:r>
    </w:p>
    <w:p>
      <w:r>
        <w:t>Le recourant invoque une violation du droit d’être entendu. Il expose que la présidente n’a aucunement motivé les raisons pour lesquelles elle a rejeté sa requête tendant à la désignation d’un curateur de représentation au sens de l’art. 299 CPC à l’enfant S.________. Selon le recourant, la présidente aurait dû à tout le moins exposer de quelle manière les intérêts de l’enfant pouvaient être considérés comme étant sauvegardés, et ce en l’absence d’un curateur de représentation.</w:t>
      </w:r>
    </w:p>
    <w:p>
      <w:r>
        <w:rPr>
          <w:b/>
        </w:rPr>
        <w:t>E. 3.2</w:t>
      </w:r>
    </w:p>
    <w:p>
      <w:r>
        <w:t>Le droit d’être entendu est une garantie constitutionnelle (art. 29 al. 2 Cst. [Constitution fédérale du 18 avril 1999 ; RS 1011]) de nature formelle, dont la violation entraîne l’annulation de la décision sans égard aux chances de succès du recours sur le fond (ATF 127 V 431 consid. 3 ; TF 9C_808/2017 du 12 mars 2018 consid. 4.1). La jurisprudence a déduit du droit d’être entendu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145 III 324 consid. 6.1 ; ATF 143 III 65 consid. 5.2 ; ATF 142 III 433 consid. 4.3.2 ; ATF 138 I 232 consid. 5.1 ; ATF 133 III 439 consid. 3.3, JdT 2008 I 4). Une motivation implicite, résultant des différents considérants de la décision, suffit à respecter le droit d’être entendu (ATF 141 V 557 consid. 3.2.1 ; TF 5A_278/2012 du 14 juin 2012 consid. 4.1).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CREC 17 mars 2022/76 ; CREC 8 mars 2019/82 ; CREC 28 mai 2018/168 ; CREC 28 mars 2018/105).</w:t>
      </w:r>
    </w:p>
    <w:p>
      <w:r>
        <w:rPr>
          <w:b/>
        </w:rPr>
        <w:t>E. 3.3</w:t>
      </w:r>
    </w:p>
    <w:p>
      <w:r>
        <w:t>A l’appui de sa décision, la présidente s’est contentée de dire que la désignation d’un curateur de représentation (art. 299 CPC) n’était pas nécessaire en l’espèce. Une telle motivation ne remplit manifestement pas les réquisits jurisprudentiels rappelés ci-dessus, dès lors qu’on ignore tout des motifs qui ont conduit la présidente à considérer qu’une curatelle de représentation n’était pas nécessaire dans le cadre d’une procédure particulièrement conflictuelle qui oppose les parties sur tous les aspects concernant l’enfant S.________. Les parties sont en effet divisées sur l’attribution de la garde et, par conséquent, sur le droit de déterminer le lieu de résidente de l’enfant et le droit aux relations personnelles. Il appartenait ainsi à la présidente, conformément à l’art. 299 al. 2 let. a CPC et l’injonction faite en ce sens par le Juge délégué de la Cour d’appel civile (cf. CACI 22 juillet 2022/384 consid. IV.3), d’examiner cette question et d’exposer précisément les raisons qui l’ont amenée à considérer que les intérêts de l’enfant S.________ ne commandaient pas la désignation d’un curateur, ceci afin que les parties puissent, le cas échéant, contester la décision de manière adéquate. L’absence de motivation de la décision se traduit, selon la jurisprudence, par une violation du droit d’être entendu des parties et, partant, conduit à l’annulation du prononcé du 8 septembre 2022.</w:t>
      </w:r>
    </w:p>
    <w:p>
      <w:r>
        <w:rPr>
          <w:b/>
        </w:rPr>
        <w:t>E. 4.1</w:t>
      </w:r>
    </w:p>
    <w:p>
      <w:r>
        <w:t>En définitive, le recours doit être admis, le prononcé entrepris annulé et la cause renvoyée à l’autorité de première instance pour nouvelle décision dans le sens des considérants. Ce renvoi étant dicté par une violation du droit d’être entendu, il ne se justifie pas d’inviter l’intimée à déposer une réponse, la cause n’étant pas préjugée sur le fond (TF 5A_910/2016 du 1 er septembre 2017 consid. 4 ; TF 5A_736/2008 du 30 mars 2009 consid. 6 ; TF 5A_163/2008 du 27 mai 2008 consid. 5 ; CREC 22 juin 2021/176 ; CREC 28 mai 2021/159).</w:t>
      </w:r>
    </w:p>
    <w:p>
      <w:r>
        <w:rPr>
          <w:b/>
        </w:rPr>
        <w:t>E. 4.2</w:t>
      </w:r>
    </w:p>
    <w:p>
      <w:r>
        <w:t>Les frais judiciaires de deuxième instance seront arrêtés à 500 fr., (300 fr. [recours] + 200 fr. [mesures superprovisionnelles] ; art. 60 et 71 al. 1 TFJC [tarif des frais judiciaires civils du 28 septembre 2010 ; BLV 270.11.5]). Les frais judiciaires en lien avec le recours, par 300 fr., seront laissés à la charge de l’Etat (art. 107 al. 2 CPC), dès lors qu'ils ne sont pas imputables aux parties. En revanche, vu le sort de la cause, le recourant supporte seul les frais judiciaires en lien avec les mesures superprovisionnelles, par 200 fr. (art. 60 TFJC et 106 al. 1 CPC). Le recourant ayant procédé à une avance de frais judiciaires de deuxième instance de 900 fr., le montant de 700 fr. lui sera restitué. Il n’y a pas matière à l’allocation de dépens de deuxième instance, l’intimée s’étant déterminée spontanément, sans qu’elle soit invitée à agir en ce sens (CREC 13 mai 2022/122 ; CREC 10 décembre 2019/346). Par ailleurs, quand bien même le recourant obtient gain de cause, il n’y a pas lieu de lui allouer de dépens de deuxième instance. En effet, le tribunal d’arrondissement n’a pas qualité de partie, mais d’autorité de première instance, de sorte qu’il ne saurait être condamné à des dépens (CREC 17 mars 2022/76 ; Tappy, Commentaire romand, Code de procédure civile, Bâle 2019, 2 e éd., n. 35 ad art. 107 CPC, p. 495). Par ces motifs, la Chambre des recours civile du Tribunal cantonal, prononce : I. Le recours est admis. II. Le prononcé du 8 septembre 2022 est annulé en ce qu’il concerne le rejet de la désignation d’un curateur de représentation à l’enfant S.________. III. Les frais judiciaires de deuxième instance, arrêtés à 500 fr. (cinq cents francs), sont mis par 200 fr. (deux cents francs) à la charge du recourant A.U.________ et par 300 fr. (trois cents francs) à la charge de l’Etat. IV. L’arrêt est exécutoire. Le président :               La greffière : Du L'arrêt qui précède, dont la rédaction a été approuvée à huis clos, est notifié à : ‑ Me Sophie Beroud (pour A.U.________), ‑ Me Jérôme Bénédict (pour B.U.________).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