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825 vom 31. August 2022</w:t>
      </w:r>
    </w:p>
    <w:p>
      <w:r>
        <w:t>VD Tribunal cantonal, 2022-08-31, FR</w:t>
      </w:r>
    </w:p>
    <w:p>
      <w:r>
        <w:rPr>
          <w:b/>
        </w:rPr>
        <w:t xml:space="preserve">Quelle: </w:t>
      </w:r>
      <w:r>
        <w:t>https://mcp.opencaselaw.ch/entscheid/vd_findinfo_HC___2022___825</w:t>
      </w:r>
    </w:p>
    <w:p>
      <w:r>
        <w:t>FR: VD_FINDINFO HC / 2022 / 825 du 31 août 2022</w:t>
      </w:r>
    </w:p>
    <w:p>
      <w:r>
        <w:t>IT: VD_FINDINFO HC / 2022 / 825 del 31 agosto 2022</w:t>
      </w:r>
    </w:p>
    <w:p>
      <w:pPr>
        <w:pStyle w:val="Heading2"/>
      </w:pPr>
      <w:r>
        <w:t>Regeste</w:t>
      </w:r>
    </w:p>
    <w:p>
      <w:r>
        <w:t>OBLIGATION DE CHIFFRER LES CONCLUSIONS, FORMALISME EXCESSIF, APPEL EN CAUSE | 319 let. b ch. 1 CPC (CH), 81 al. 1 CPC (CH), 82 CPC (CH)</w:t>
      </w:r>
    </w:p>
    <w:p>
      <w:pPr>
        <w:pStyle w:val="Heading2"/>
      </w:pPr>
      <w:r>
        <w:t>Erwägungen</w:t>
      </w:r>
    </w:p>
    <w:p>
      <w:r>
        <w:rPr>
          <w:b/>
        </w:rPr>
        <w:t>E. 1.1</w:t>
      </w:r>
    </w:p>
    <w:p>
      <w:r>
        <w:t>Selon l'art. 319 let. b ch. 1 CPC, le recours est recevable dans les cas prévus par la loi. L'art. 82 al. 4 CPC ouvre la voie du recours contre la décision d'admission de l'appel en cause. Le recours, écrit et motivé, doit être introduit auprès de l'instance de recours qui, dans le canton de Vaud, est la Chambre des recours civile (art. 73 al. 1 LOJV [Loi d'organisation judiciaire du 12 décembre 1979 ; BLV 173.01]), dans un délai de trente jours à compter de la notification de la décision motivée ou de la notification postérieure de la motivation (art. 321 al. 1 CPC).</w:t>
      </w:r>
    </w:p>
    <w:p>
      <w:r>
        <w:rPr>
          <w:b/>
        </w:rPr>
        <w:t>E. 1.2</w:t>
      </w:r>
    </w:p>
    <w:p>
      <w:r>
        <w:t>En l’espèce, déposé en temps utile par une partie disposant d’un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(Jeandin, Commentaire romand, Code de procédure civile, 2 e éd., Bâle 2019 [CR-CPC], nn. 2 ss ad art. 320 CPC ;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le grief de la constatation manifestement inexacte des faits ne permet que de corriger une erreur évidente, la notion se recoupant en définitive avec l'appréciation arbitraire des preuves ( TF 4D_30/2017 du</w:t>
      </w:r>
    </w:p>
    <w:p>
      <w:r>
        <w:rPr>
          <w:b/>
        </w:rPr>
        <w:t>E. 5</w:t>
      </w:r>
    </w:p>
    <w:p>
      <w:r>
        <w:t>décembre 2017 consid. 2.2 et les réf. citées ; Corboz, Commentaire de la LTF, 2 e éd., Berne 2014, n. 27 ad art. 97 LTF). 3. 3.1 La recourante soutient en substance que la requête l'appel en cause aurait dû être déclarée irrecevable car elle ne contenait pas de conclusions chiffrées. Elle reproche à la présidente d’avoir utilisé le principe du formalisme excessif pour pallier aux carences de l’appelante en cause « de façon inappropriée ». Elle ajoute que la position de cette dernière est équivoque car elle a d’abord estimé, dans ses déterminations du 3 janvier 2022, qu'elle « ne pouvait pas chiffrer sa prétention avec la précision nécessaire au stade du mémoire-réponse dès lors que son ampleur dépendait de l'administration des preuves ainsi que des informations et pièces à fournir par la Demanderesse et par des tiers ». La présidente ne pourrait ainsi pas, d'une part, reconnaître que l’appelante en cause justifie de ne pas chiffrer ses conclusions car elle estime ne pas pouvoir le faire avec la précision nécessaire au stade du mémoire-réponse et sans l'administration de preuves et, d'autre part, retenir que l’on comprend bien à la lecture de ses conclusions qu'elle entend se faire relever entièrement par l'appelée en cause. 3.2 3.2.1 Aux termes de l'art. 81 al. 1 CPC, le dénonçant peut appeler en cause le dénoncé devant le tribunal saisi de la demande principale en faisant valoir les prétentions qu'il estime avoir contre lui pour le cas où il succomberait.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(ATF 145 III 506 consid. 2.3 ; ATF 144 III 526 consid. 3.3). Procéduralement, dans une première étape, l'appelant en cause dépose une requête d'admission de l'appel en cause (art. 82 al. 1 CPC ; Zulassungsgesuch).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 Streitverkündungsklage), laquelle, comme toute demande en justice, doit satisfaire aux conditions de recevabilité (art. 59 CPC) et doit contenir des conclusions, des allégations de fait et les moyens de preuves proposés à l'appui de celles-ci (art. 221 al. 1 let. b, d et e CPC) (TF 4A_169/2020 du 8 mars 2021 consid. 3.2). En ce qui concerne la première étape, et plus précisément la requête d’admission de l’appel en cause, l’art. 82 al. 1 2 e phr. CPC dispose qu’elle doit énoncer les conclusions que l'appelant en cause entend prendre contre l'appelé en cause et les motiver succinctement. Les conclusions qui, selon cette disposition,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Ce n'est que si la demande principale elle-même n'est pas chiffrée et n'a pas besoin de l'être en vertu de l'art. 85 CPC que l'appelant en cause est dispensé de chiffrer ses conclusions tant dans sa requête d'admission que dans sa demande d'appel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4A_169/2020 précité consid. 3.3.2 ; TF 4A_235/2016 du 7 mars 2017 consid. 2.2). Quant à la motivation « succincte » exigée par l'art. 82 al. 1 2 e phr. CPC, il suffit qu'elle délimite l'objet du litige et fasse apparaître que la prétention de l'appelant contre l'appelé dépend de l'issue de la procédure principale ( ATF 147 III 166 consid. 3.3.3 ; ATF 139 III 69 consid. 2.4.3 ; TF 4A_51/2013 du 8 janvier 2014 consid. 3). Selon la jurisprudence du Tribunal fédéral, ce sont les conclusions et le complexe de faits à l'appui de celles-ci qui permettent au juge de fixer l'objet du litige (ATF 142 III 210 consid. 2.1 ; ATF 139 III 126 consid. 3.2.3 ; sur le tout, TF 4A_169/2020 précité consid. 3.3.3). 3.2.2 Le montant chiffré des conclusions permet de déterminer la compétence matérielle, ainsi que la procédure applicable et il est nécessaire au respect du droit d’être entendu de la partie adverse, qui doit pouvoir déterminer contre quoi elle doit se défendre (ATF 142 III 102 consid. 5.3.1). 3.2.3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ATF 142 I 10 consid. 2.4.2 ; ATF 135 I 6 consid. 2.1). En tant que l’interdiction du formalisme excessif sanctionne un comportement répréhensible de l'autorité dans ses relations avec le justiciable, l'interdiction du formalisme excessif poursuit le même but que le principe de la bonne foi consacré aux art. 5 al. 3 et 9 Cst (ATF 145 I 201 consid. 4.2.1 ; TF 5A_471/2020 du 12 avril 2021 consid. 5.2.4). Selon la jurisprudence du Tribunal fédéral, il serait excessivement formaliste de faire pâtir une partie d'une formulation malheureuse ou du libellé imprécis d'une conclusion, lorsque son sens se laisse sans autres déterminer, en tenant compte de sa motivation, des circonstances de l'espèce ou de la nature juridique de l'action (TF 5A_561/2019 du 5 février 2020 consid. 2.4.3 ; TF 5A_377/2016 du 9 janvier 2017 consid. 4.2.3). Ni le principe de disposition, ni l'interdiction de la reformatio in pejus n'interdisent au tribunal de déterminer le sens effectif des conclusions en les interprétant selon le principe de la confiance (TF 5A_728/2020 du 12 janvier 2022 consid. 3.2 )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 3.3 En l’espèce, il n'est pas contesté que la demande principale est chiffrée et que la requête d'appel en cause ne l'est pas. De même, la motivation de la première juge selon laquelle l'art. 85 CPC ne trouve pas application en l’espèce peut être confirmée. Le fait que, dans ses déterminations du 3 janvier 2022, l’appelante en cause se soit fondée sur cette disposition pour motiver le fait que ses conclusions ne soient pas chiffrées n’y change rien : le juge applique le droit d’office (art. 57 CPC) et n’est pas lié par les causes juridiques invoquées à l’appui des conclusions (Haldy, CR-CPC, n. 3 ad art. 57 CPC). Seule doit dès lors être examinée la question du formalisme excessif. La requête d'appel en cause est motivée en page 14 de la réponse. Il n’y est fait aucune allusion à un quelconque montant chiffré. En effet, la défenderesse et appelante en cause se borne à relever ce qui suit : « Au fond, dans le cas où M.________Sàrl devait par impossible se voir condamner au paiement de l'éventuel dommage subi par la Demanderesse, elle disposera de prétentions récursoires à l'encontre de la Direction des travaux, à savoir I.________Sàrl. M.________Sàrl conclut ainsi à ce que I.________Sàrl, sise [...], soit appelée en cause ». Dans ses conclusions, la défenderesse a par contre conclu clairement à ce que l'appelée en cause soit condamnée « pour le paiement de l'intégralité de l'éventuel dommage subi par Madame C.________ ». Il est vrai que le montant des conclusions de celle-ci ne sont reprises nulle part, mais le libellé est parfaitement clair et, avec la première juge, on peut retenir que ces conclusions permettent aisément de déterminer que la défenderesse entend être libérée de toute responsabilité, soit jusqu'au montant maximum auquel conclut la demanderesse. A cet égard, on doit d’ailleurs relever que, selon le Message du Conseil fédéral du 26 février 2020 relatif à la modification du code de procédure civile suisse (amélioration de la praticabilité et de l’application du droit), il est prévu d’ajouter une troisième phrase à l’art. 82 al. 1 CPC, soit que « Les conclusions ne doivent pas être chiffrées si elles portent sur la prestation que le dénonçant serait condamné à fournir dans la procédure principale » (FF 2020 2607 spéc. 2645). Au vu de ce qui précède, on doit admettre avec la première juge qu'il serait excessivement formaliste d'exiger de la défenderesse et appelante en cause qu'elle chiffre ses conclusions et c’est ainsi à juste titre qu’elle a admis la requête d’appel en cause. 4. Il s’ensuit que le recours doit être rejeté selon la procédure de l’art. 322 al. 1 in fine CPC et la décision confirmée. Les frais judiciaires de deuxième instance, arrêtés à 1’242 fr. (art. 69 al. 1 TFJC [tarif des frais judiciaires civils du 28 septembre 2010 ; BLV 270.11.5]), seront mis à la charge de la recourante, qui succombe (art. 106 al. 1 CPC). Il n’y a pas lieu à l’allocation de dépens de deuxième instance, les intimées n’ayant pas été invités à se déterminer. Par ces motifs, la Chambre des recours civile du Tribunal cantonal, prononce : I. Le recours est rejeté. II. La décision est confirmée. III. Les frais judiciaires de deuxième instance, arrêtés à 1'242 fr. (mille deux cent quarante-deux francs), sont mis à la charge de la recourante I.________Sàrl. IV. Il n’est pas alloué de dépens de deuxième instance. V. L’arrêt est exécutoire. Le président :               La greffière : Du L'arrêt qui précède, dont la rédaction a été approuvée à huis clos, est notifié à : ‑ Me Etienne Monnier (pour I.________Sàrl), ‑ Me Pierre Rüttimann (pour M.________Sàrl) ‑ Me Daniel Guignard (pour C.________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