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824 vom 17. Oktober 2022</w:t>
      </w:r>
    </w:p>
    <w:p>
      <w:r>
        <w:t>VD Tribunal cantonal, 2022-10-17, FR</w:t>
      </w:r>
    </w:p>
    <w:p>
      <w:r>
        <w:rPr>
          <w:b/>
        </w:rPr>
        <w:t xml:space="preserve">Quelle: </w:t>
      </w:r>
      <w:r>
        <w:t>https://mcp.opencaselaw.ch/entscheid/vd_findinfo_HC___2022___824</w:t>
      </w:r>
    </w:p>
    <w:p>
      <w:r>
        <w:t>FR: VD_FINDINFO HC / 2022 / 824 du 17 octobre 2022</w:t>
      </w:r>
    </w:p>
    <w:p>
      <w:r>
        <w:t>IT: VD_FINDINFO HC / 2022 / 824 del 17 ottobre 2022</w:t>
      </w:r>
    </w:p>
    <w:p>
      <w:pPr>
        <w:pStyle w:val="Heading2"/>
      </w:pPr>
      <w:r>
        <w:t>Regeste</w:t>
      </w:r>
    </w:p>
    <w:p>
      <w:r>
        <w:t>BAIL À LOYER, RÉSILIATION, DÉLAI DE RÉSILIATION | 271 CO, 271a CO</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d’au moins 10'000 fr. (art. 308 al.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w:t>
      </w:r>
    </w:p>
    <w:p>
      <w:r>
        <w:rPr>
          <w:b/>
        </w:rPr>
        <w:t>E. 1.2</w:t>
      </w:r>
    </w:p>
    <w:p>
      <w:r>
        <w:t>En l’espèce, le montant du loyer est de 2'500 fr., frais accessoires non compris. La valeur litigieuse excède ainsi manifestement 10'000 fr., si bien que c’est la voie de l’appel qui est ouverte (art. 308 al. 2 CPC). Formé en temps utile par la bailleresse qui dispose d’un intérêt digne de protection (art. 59 al. 2 let. a CPC), l’appel est recevable sous cet angle.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 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4D_72/2017 du 19 mars 2018 consid. 2 ; TF 4A_238/2015 du 22 septembre 2015 consid. 2.2).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 Il appartient à la partie qui entend se prévaloir de nova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w:t>
      </w:r>
    </w:p>
    <w:p>
      <w:r>
        <w:rPr>
          <w:b/>
        </w:rPr>
        <w:t>E. 2.3</w:t>
      </w:r>
    </w:p>
    <w:p>
      <w:r>
        <w:t>En l’espèce, les intimés remettent en cause la recevabilité de l’appel, sous l’angle des conclusions prises. Ils relèvent que la conclusion I porte sur la validité de la résiliation de bail relative à l’appartement de quatre pièces en duplex dans les combles de l’immeuble sis [...], ainsi que ses dépendances, ce dernier ajout étant irrecevable du fait qu’il n’était pas mentionné dans les conclusions reconventionnelles du 17 décembre 2020. Si effectivement ces conclusions avaient trait à l’appartement de quatre pièces en duplex dans les combles de l’immeuble précité, il ne fait nul doute que le litige portait sur l’ensemble de la location, définie sous consid. 1 du jugement entrepris. D’ailleurs, les premiers juges ne s’y sont pas trompés puisqu’ils ont annulé la résiliation de bail relative à l’appartement de quatre pièces en duplex ainsi qu’à ses dépendances. L’argument des intimés confine à la témérité. Quant à la durée de l’unique prolongation requise en appel, de 3 ans, alors qu’elle était de deux ans en première instance, elle ne saurait être déterminante, dès lors que cette question doit être revue d’office par les magistrats de deuxième instance. En effet, en application de l’art. 273 al. 5 CO, lorsque l’autorité compétente rejette une requête en annulation de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 CO ; Tercier/Bieri/Carron, Les contrats spéciaux, 5 e édition 2016, n. 2277 p. 309). Ces dispositions s’appliquent également devant l’autorité d’appel, quand bien même l’intimé a renoncé à déposer un appel joint et n’a pris aucune conclusion subsidiaire à cet égard (CACI 6 septembre 2013/458 consid. 3.4 et les réf. cit.).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w:t>
      </w:r>
    </w:p>
    <w:p>
      <w:r>
        <w:rPr>
          <w:b/>
        </w:rPr>
        <w:t>E. 2.4</w:t>
      </w:r>
    </w:p>
    <w:p>
      <w:r>
        <w:t>Partant, l’appel est recevable et il en va de même des conclusions prises par l’appelante en deuxième instance.</w:t>
      </w:r>
    </w:p>
    <w:p>
      <w:r>
        <w:rPr>
          <w:b/>
        </w:rPr>
        <w:t>E. 3.1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w:t>
      </w:r>
    </w:p>
    <w:p>
      <w:r>
        <w:rPr>
          <w:b/>
        </w:rPr>
        <w:t>E. 3.2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 soit l’absence d'intérêt à l'exercice d'un droit, l’utilisation d'une institution juridique contrairement à son but, la disproportion grossière des intérêts en présence, l’exercice d'un droit sans ménagement et l’attitude contradictoire –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 cit.).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 Pour pouvoir examiner si le congé ordinaire contrevient ou non aux règles de la bonne foi (art. 271 et 271a CO), il faut déterminer quel est le motif de congé invoqué par le bailleur (ATF 140 III 496 consid. 4.1 ; ATF 138 III 59 consid. 2.1). En particulier, le caractère abusif du congé sera retenu lorsque le motif invoqué n’est qu’un prétexte alors que le motif réel n’est pas contestable (ATF 145 III 143 consid. 3.1 ; ATF 143 III 344 consid. 5.3.1 et les réf. cit.). Déterminer quel est le motif du congé et si ce motif est réel ou n’est qu’un prétexte relève des constatations de fait (ATF 145 III 143 consid. 3.1 ; ATF 136 III 190 consid. 2). Pour ce faire, il faut se placer au moment où le congé a été notifié (ATF 145 III 143 consid. 3.1 ; ATF 142 III 91 consid. 3.2.1 ; ATF 140 III 496 consid. 4.1) ; à cet égard, des faits survenus ultérieurement peuvent tout au plus fournir un éclairage sur les intentions du bailleur au moment de la résiliation (ATF 138 III 59 consid. 2.1 in fine ; TF 4A_460/2020 du 23 février 2021 consid. 3.1 ; TF 4A_33/2019 du 5 septembre 2019 consid. 4.1.1 ; TF 4A_113/2019 du 9 juillet 2019 consid. 3 et la réf. cit.) En revanche, le point de savoir si le congé contrevient aux règles de la bonne foi est une question de droit (TF 4A_143/2021 du 31 août 2021 consid. 7.2). Il a été jugé que le congé donné pour mettre fin à des querelles incessantes entre des locataires de l’immeuble ou en raison d’une violation persistante du devoir de diligence du locataire qui a entreposé des meubles sur le palier ne saurait être jugée contraire aux règles de la bonne foi (TF 4A_735/2011 du 16 janvier 2012 consid. 2.4 ; TF 4A_253/2018 du 5 novembre 2018 consid. 7).</w:t>
      </w:r>
    </w:p>
    <w:p>
      <w:r>
        <w:rPr>
          <w:b/>
        </w:rPr>
        <w:t>E. 4.1</w:t>
      </w:r>
    </w:p>
    <w:p>
      <w:r>
        <w:t>L’appelante revient sur un certain nombre de faits et reproche tout d’abord aux premiers juges de n’avoir fait que résumer le courriel du 6 juillet 2019 de P.________. L’état de fait a été complété par la teneur dudit courriel et par les précisions apportées à son sujet par son auteur personnellement lors de son témoignage en audience.</w:t>
      </w:r>
    </w:p>
    <w:p>
      <w:r>
        <w:rPr>
          <w:b/>
        </w:rPr>
        <w:t>E. 4.2</w:t>
      </w:r>
    </w:p>
    <w:p>
      <w:r>
        <w:t>La question de la médiation est importante, puisqu’elle fonde l’attitude contradictoire contraire à la bonne foi de la bailleresse retenue par les premiers juges. Il a été posé à ce sujet que la bailleresse a initié un processus de médiation pour ensuite y mettre un terme. L’appelante revient sur cette question et demande qu’un extrait du courriel du 22 juillet 2019 et l’entier du courriel du 12 août 2019 du médiateur A.________ soient reproduits. L’état de fait a été complété en conséquence. Les photos produites en première instance, datées du 2 octobre 2019, du 15 novembre 2019 et du 1 er janvier 2020, ainsi que celles référencées sous pièce 126 ont également été intégrées à l’état de fait qui précède. L’appelante revient en outre sur la chronologie des faits, en rappelant, respectivement précisant, plusieurs dates : la séance de médiation a eu lieu le 24 juin 2019, l’armoire litigieuse a été évacuée en décembre 2019 et des objets dans les parties communes de l’immeuble étaient toujours entreposés le 1 er janvier 2020. Il en sera question ci-après.</w:t>
      </w:r>
    </w:p>
    <w:p>
      <w:r>
        <w:rPr>
          <w:b/>
        </w:rPr>
        <w:t>E. 5</w:t>
      </w:r>
    </w:p>
    <w:p>
      <w:r>
        <w:t>En premier lieu, il convient de ne pas perdre de vue qu’il s’agit d’un congé ordinaire notifié pour l’échéance contractuelle et respectant le délai de résiliation prévu par le contrat. Ensuite, en accord avec ce que souligne l’appelante, on ne saurait dire que c’est la bailleresse qui a mis un terme au processus de médiation après l’avoir initié. Bien plus, il ressort des courriels mis en exergue par l’appelante que le médiateur a dû mettre un terme à la médiation du fait de l’absence d’accord des participants sur l’organisation d’une séance supplémentaire à celle qui a eu lieu le 24 juin 2019. Bien que jugée nécessaire par le médiateur, une nouvelle séance de médiation ne s’est pas tenue en raison du refus de la plupart des personnes concernées et invitées à y participer. Il peut même être déduit de la procédure de médiation entamée que la bailleresse n’a pas agi sur un coup de tête mais a au contraire cherché à trouver des solutions, démarche qui s’est toutefois soldée par un relatif échec. On ne saurait donc constater que le motif du congé est purement chicanier. Au contraire, il ressort du dossier que les difficultés sont présentes depuis un certain temps, qu’elles ont perduré au-delà du 24 juin 2019 et que c’est bien cette situation qui a amené à la résiliation litigieuse. On ne saurait soutenir, compte tenu du contexte, que la résiliation n’est qu’un prétexte, a fortiori vu la taille réduite de l’immeuble et de l’affectation communautaire de nombre de ses parties communes, ce qui rend la cohabitation d’autant plus difficile en cas de conflit. La situation litigieuse s’inscrit dans le cadre de la jurisprudence citée plus haut, qui a admis la violation persistante du devoir de diligence du locataire pour entreposage de meubles sur le palier de l’immeuble, étant observé que, contrairement à ce qui a été retenu par les premiers juges, le comportement stigmatisé des locataires intimés a perduré au-delà du 24 juin 2019, puisqu’il avait encore lieu à tout le moins en décembre 2019 – mois durant lequel l’évacuation de l’armoire a finalement eu lieu –, soit peu avant la résiliation du bail. La teneur du courrier des intimés du 14 octobre 2019 laisse par ailleurs entrevoir une imperméabilité des intimés face à la situation et aux griefs qui leur sont formulés. Les questions liées aux objets photographiés en janvier 2020 dans les couloirs de l’immeuble, sur lesquels revient l’appelante et qui n’ont fait l’objet d’aucun allégué, peuvent demeurer en l’état, ce d’autant plus que les intimés ont eux-mêmes allégué qu’ils continuaient d’entreposer une trottinette et un vélo d’enfant dans le hall d’entrée. Le congé ne consacre en définitive aucune disproportion grossière des intérêts en présence dans le contexte qui est celui de l’immeuble abritant l’objet du bail. Il ne s’agit pas davantage d’un congé bagatelle donné pour un manquement isolé. Et, comme déjà mentionné, la bailleresse a pris au sérieux cette situation conflictuelle en ayant essayé d’y remédier mais sans succès, ce qui a conduit à sa volonté finale de mettre un terme au contrat. Enfin, l’attitude contradictoire telle que retenue par les premiers juges ne peut pas être validée, au motif que ce n’est pas la bailleresse qui a mis fin au processus de médiation, contrairement à ce qui a été retenu en première instance. On ne saurait encore soutenir que l’appelante a toléré le comportement des locataires et qu’elle ne saurait prendre appui sur cette situation pour motiver la résiliation. La résiliation du bail des intimés est valable et, partant, le grief de l’appelante est fondé.</w:t>
      </w:r>
    </w:p>
    <w:p>
      <w:r>
        <w:rPr>
          <w:b/>
        </w:rPr>
        <w:t>E. 6</w:t>
      </w:r>
    </w:p>
    <w:p>
      <w:r>
        <w:t>Compte tenu de ce qui précède, il y a lieu d’examiner la question de la prolongation du bail.</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w:t>
      </w:r>
    </w:p>
    <w:p>
      <w:r>
        <w:rPr>
          <w:b/>
        </w:rPr>
        <w:t>E. 6.2</w:t>
      </w:r>
    </w:p>
    <w:p>
      <w:r>
        <w:t>Aucun intérêt prépondérant de la bailleresse n’impose une fin rapide au contrat, la situation perdurant depuis un certain temps. En effet, si les autres locataires se sont plaints à de multiples reprises de l’attitude des intimés, ils ne menacent à ce jour plus de partir ou de requérir une baisse de loyer. Il y a toutefois lieu de tenir compte du fait que la cohabitation dans ce petit immeuble aux nombreuses parties communes partagées peut être particulièrement pénible en cas de conflit. Les intimés ont démontré qu’ils faisaient peu de cas des doléances de leurs voisins ou de leur bailleresse et persistaient à adopter les comportements qui leur étaient reprochés. D’ailleurs, malgré la résiliation de leur bail pour ce motif notamment, ils continuent à entreposer des objets dans le hall d’entrée de l’immeuble et ne semblent pas disposés à remettre en question leur appréciation de la situation. De plus, les intimés évoquent leur situation familiale et l’organisation mise en place à [...] en lien avec la garde de leur fille, sans pour autant se prévaloir de difficultés concrètes qu’ils pourraient rencontrer pour se reloger. Ils se prévalent en effet, de manière générale, du fait que le marché locatif se serait durci, que les loyers auraient augmenté et qu’ils n’auraient pas constaté la disponibilité d’un bien équivalent, malgré leurs recherches. Ils n’établissent toutefois pas qu’en déployant les efforts nécessaires aucune solution de remplacement ne pourrait être trouvée. Au contraire, tout porte à croire que les intimés ne devraient pas rencontrer d’obstacle particulier pour se procurer un nouveau lieu de vie. Non seulement, ils exercent tous deux une activité professionnelle – l’intimé étant quant à lui avocat – et disposent ainsi d’une situation financière favorable, mais ils se prévalent également en procédure de leur excellente intégration sociale dans la région, de sorte qu’il n’y a aucune raison de douter qu’il leur sera aisé de se reloger de manière appropriée. Dans ces conditions, il se justifie d’accorder aux intimés une unique prolongation de bail d’une durée de trois ans, à savoir jusqu’au 1 er juillet 2023. Il y a également lieu de donner suite aux mesures d'exécution forcée directe (art. 236 al. 3 et 337 CPC) requises par l'appelante et de les ordonner. 7. 7.1 En définitive, l’appel doit être admis et le jugement entrepris réformé dans le sens de ce qui précède. L’appelante obtient ainsi entièrement gain de cause tant sur la validité de la résiliation que sur la durée de la prolongation. Cependant, dans la mesure où le jugement de première instance a été rendu sans frais judiciaires, ni dépens, il n’y a pas lieu d’y revenir à ce stade. 7.2 Les frais judiciaires de deuxième instance, arrêtés à 1'900 fr. (art. 62 al. 1 TFJC [tarif des frais judiciaires civils du 28 septembre 2010 ; BLV 270.11.5]), sont mis à la charge des intimés, solidairement entre eux (art. 106 al. 1 CPC). Ces derniers verseront, solidairement entre eux, à l’appelante la somme de 5'000 fr. (art. 106 al. 1 et 3 CPC, art. 3 al. 2 et 7 al. 1 TDC [tarif des dépens en matière civile du 23 novembre 2010 ; BLV 270.11.6]) à titre de dépens de deuxième instance, soit un montant total de 6'900 fr. (1'900 + 5'000) à titre de remboursement de son avance de frais judiciaires et de dépens de deuxième instance.</w:t>
      </w:r>
    </w:p>
    <w:p>
      <w:r>
        <w:rPr>
          <w:b/>
        </w:rPr>
        <w:t>E. 11</w:t>
      </w:r>
    </w:p>
    <w:p>
      <w:r>
        <w:t>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 n. 15 ad art. 272 CO), respectivement lorsque le locataire peut disposer d'une solution de remplacement en déployant les efforts nécessaires (Conod, Droit du bail à loyer et à ferme, Commentaire pratique, 2 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4 e éd. 2018, n. 6 ad art. 272b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