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 vom 10. Januar 2022</w:t>
      </w:r>
    </w:p>
    <w:p>
      <w:r>
        <w:t>VD Tribunal cantonal, 2022-01-10, FR</w:t>
      </w:r>
    </w:p>
    <w:p>
      <w:r>
        <w:rPr>
          <w:b/>
        </w:rPr>
        <w:t xml:space="preserve">Quelle: </w:t>
      </w:r>
      <w:r>
        <w:t>https://mcp.opencaselaw.ch/entscheid/vd_findinfo_HC___2022___82</w:t>
      </w:r>
    </w:p>
    <w:p>
      <w:r>
        <w:t>FR: VD_FINDINFO HC / 2022 / 82 du 10 janvier 2022</w:t>
      </w:r>
    </w:p>
    <w:p>
      <w:r>
        <w:t>IT: VD_FINDINFO HC / 2022 / 82 del 10 gennaio 2022</w:t>
      </w:r>
    </w:p>
    <w:p>
      <w:pPr>
        <w:pStyle w:val="Heading2"/>
      </w:pPr>
      <w:r>
        <w:t>Regeste</w:t>
      </w:r>
    </w:p>
    <w:p>
      <w:r>
        <w:t>NOUVEAU MOYEN DE FAIT, NOUVEAU MOYEN DE PREUVE, ASSISTANCE JUDICIAIRE, INDEMNITÉ{EN GÉNÉRAL}, REJET DE LA DEMANDE | 122 al. 1 let. a CPC (CH), 326 CPC (CH)</w:t>
      </w:r>
    </w:p>
    <w:p>
      <w:pPr>
        <w:pStyle w:val="Heading2"/>
      </w:pPr>
      <w:r>
        <w:t>Erwägungen</w:t>
      </w:r>
    </w:p>
    <w:p>
      <w:r>
        <w:rPr>
          <w:b/>
        </w:rPr>
        <w:t>E. 1.1</w:t>
      </w:r>
    </w:p>
    <w:p>
      <w:r>
        <w:t>La décision arrêtant la rémunération du conseil d'office au sens de l'art. 122 al. 1 let. a CPC est une décision sur les frais qui ne peut être attaquée séparément que par un recours selon l'art. 110 CPC (Tappy, Commentaire romand, Code de procédure civile, 2 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 n. 22 ad art. 122 CPC).</w:t>
      </w:r>
    </w:p>
    <w:p>
      <w:r>
        <w:rPr>
          <w:b/>
        </w:rPr>
        <w:t>E. 1.2</w:t>
      </w:r>
    </w:p>
    <w:p>
      <w:r>
        <w:t>En l'espèce, formé en temps utile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2.2.1</w:t>
      </w:r>
    </w:p>
    <w:p>
      <w:r>
        <w:t>En procédure de recours, les conclusions, les allégations de faits et les preuves nouvelles sont irrecevables (art. 326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La voie du recours prohibe donc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En l’occurrence, la pièce de forme produite par la recourante, à savoir le prononcé litigieux, ainsi que la liste des opérations adressée par la recourante au premier juge le 23 septembre 2020, qui figure déjà au dossier de première instance, sont recevables. Concernant la convention passée entre la recourante et son client les 2 et 3 mars 2021, elle ne figure pas au dossier de première instance. La recourante ne fait pas valoir qu’elle aurait été empêchée de la produire devant le premier juge. Elle a en effet disposé d’un délai, maintes fois prolongé, pour produire sa liste des opérations et il n’appartenait pas à l’autorité précédente de l’interpeler sur d’éventuelles opérations problématiques avant de rendre une décision (CREC 18 juin 2021/149). Partant, la pièce nouvelle et les faits nouveaux que la recourante en déduit sont irrecevables.</w:t>
      </w:r>
    </w:p>
    <w:p>
      <w:r>
        <w:rPr>
          <w:b/>
        </w:rPr>
        <w:t>E. 3.1</w:t>
      </w:r>
    </w:p>
    <w:p>
      <w:r>
        <w:t>Comme seul argument, la recourante se prévaut de l’accord qu’elle aurait conclu avec son ancien client pour justifier son droit à une indemnité de conseil d’office.</w:t>
      </w:r>
    </w:p>
    <w:p>
      <w:r>
        <w:rPr>
          <w:b/>
        </w:rPr>
        <w:t>E. 3.2.1</w:t>
      </w:r>
    </w:p>
    <w:p>
      <w:r>
        <w:t>A l'instar du défenseur d'office en matière pénale (ATF 141 I 124 consid. 3.1), le conseil juridique commis d'office au civil n'exerce pas un mandat privé, mais accomplit une tâche de droit public et qui lui confère une prétention de droit public à être rémunéré équitablement (cf. ATF 137 III 185 consid. 5.2. et 5.3) dans le cadre des normes cantonales applicables (ATF 141 III 560 consid. 3.2.2 ; ATF 122 I 1 consid. 3a ; TF 5D_276/2020 du 20 mai 2021 consid. 4.2 ; TF 5D_54/2014 du 1 er juillet 2014 consid. 1.1). Dès lors que, lors de sa désignation comme conseil d’office, il s’établit entre l’avocat et l’Etat un rapport juridique de droit public, celui-ci ne prend fin que par la décision relevant l’avocat de sa mission (CREC 26 août 2013/289).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 de ce fait, l'avocat d'office accomplit une tâche étatique (ATF 132 I 201 consid. 7.1 ; ATF 122 I 322 consid. 3b ; ATF 117 Ia 22 consid. 4a).</w:t>
      </w:r>
    </w:p>
    <w:p>
      <w:r>
        <w:rPr>
          <w:b/>
        </w:rPr>
        <w:t>E. 3.2.2</w:t>
      </w:r>
    </w:p>
    <w:p>
      <w:r>
        <w:t>Pour la rémunération de l'avocat d'office,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29 avril 2019/131 consid. 5.2 ; cf. ég. CREC 27 septembre 2016/388 ; CREC 13 octobre 2014/359 ; CREC 27 juin 2014/221 ; CREC 8 mai 2014/168).</w:t>
      </w:r>
    </w:p>
    <w:p>
      <w:r>
        <w:rPr>
          <w:b/>
        </w:rPr>
        <w:t>E. 3.3</w:t>
      </w:r>
    </w:p>
    <w:p>
      <w:r>
        <w:t>Comme exposé (consid. 2.2.2 supra ), la recourante fonde toute son argumentation sur la convention passée avec son ancien client. Or, la pièce produite est irrecevable, de même que les faits qui en résultent, ce qui entraîne l’irrecevabilité des griefs invoqués. Cela étant, même à considérer la pièce recevable, en se prévalant d’un accord conclu avec son ancien client, la recourante perd de vue qu'elle a été commise d'office par le juge et qu'elle est liée à lui par un rapport de droit public. Ainsi, la recourante ne saurait se prévaloir de l'accord donné par son client en lien avec sa note d'honoraires de septembre 2020 pour obtenir une indemnité. D'ailleurs, au chiffre III de la convention, C.J.________ ne fait que prendre acte de la liste des opérations et s'en remettre à justice s'agissant du montant à allouer à la recourante au titre de la rémunération de conseil d'office, montant sur lequel il déclare n'avoir aucune prétention à faire valoir. A cela s'ajoute que la recourante ne discute pas la motivation du premier juge selon laquelle elle aurait renoncé à être indemnisée, raison pour laquelle il n'a pas été entré en matière sur la liste des opérations litigieuse, de même qu’elle a été relevée de sa mission de conseil d’office le 4 avril 2019, ce qui exclut de la rémunérer postérieurement à cette date.</w:t>
      </w:r>
    </w:p>
    <w:p>
      <w:r>
        <w:rPr>
          <w:b/>
        </w:rPr>
        <w:t>E. 4.1</w:t>
      </w:r>
    </w:p>
    <w:p>
      <w:r>
        <w:t>Au vu de ce qui précède, le recours, manifestement mal fondé, doit être rejeté au sens de l'art. 322 al. 1 in fine CPC et le prononcé entrepris confirmé.</w:t>
      </w:r>
    </w:p>
    <w:p>
      <w:r>
        <w:rPr>
          <w:b/>
        </w:rPr>
        <w:t>E. 4.2</w:t>
      </w:r>
    </w:p>
    <w:p>
      <w:r>
        <w:t>Vu l’issue du recours, les frais judiciaires de deuxième instance, arrêtés à 100 fr. (art. 69 al. 3 et 70 al. 3 TFJC [tarif des frais judiciaires civils du 28 septembre 2010 ; BLV 270.11.5]), sont mis à la charge de la recourante.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G.________. IV. L’arrêt est exécutoire. Le président :               La greffière : Du L'arrêt qui précède, dont la rédaction a été approuvée à huis clos, est notifié à : ‑ Me G.________, ‑ M. C.J.________,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