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780 vom 5. Oktober 2022</w:t>
      </w:r>
    </w:p>
    <w:p>
      <w:r>
        <w:t>VD Tribunal cantonal, 2022-10-05, FR</w:t>
      </w:r>
    </w:p>
    <w:p>
      <w:r>
        <w:rPr>
          <w:b/>
        </w:rPr>
        <w:t xml:space="preserve">Quelle: </w:t>
      </w:r>
      <w:r>
        <w:t>https://mcp.opencaselaw.ch/entscheid/vd_findinfo_HC___2022___780</w:t>
      </w:r>
    </w:p>
    <w:p>
      <w:r>
        <w:t>FR: VD_FINDINFO HC / 2022 / 780 du 5 octobre 2022</w:t>
      </w:r>
    </w:p>
    <w:p>
      <w:r>
        <w:t>IT: VD_FINDINFO HC / 2022 / 780 del 5 ottobre 2022</w:t>
      </w:r>
    </w:p>
    <w:p>
      <w:pPr>
        <w:pStyle w:val="Heading2"/>
      </w:pPr>
      <w:r>
        <w:t>Regeste</w:t>
      </w:r>
    </w:p>
    <w:p>
      <w:r>
        <w:t>REVENU HYPOTHÉTIQUE, OBLIGATION D'ENTRETIEN | 173 al. 3 CC, 279 al. 1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 En revanche, le courrier de l’appelante du 18 juillet 2022 est tardif et donc irrecevable.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 La Juge déléguée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Dans un premier moyen, l’appelante critique le montant retenu par la premier juge au titre de revenu hypothétique de l’intimé.</w:t>
      </w:r>
    </w:p>
    <w:p>
      <w:r>
        <w:rPr>
          <w:b/>
        </w:rPr>
        <w:t>E. 3.2</w:t>
      </w:r>
    </w:p>
    <w:p>
      <w:r>
        <w:t>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Les principes relatifs au revenu hypothétique valent tant pour le débiteur que pour le créancier d'entretien (TF 5A_838/2009 du 6 mai 2010, in : FamPra.ch 2010 p. 669). Lorsque la procédure concerne le calcul de la contribution envers un enfant mineur, des exigences particulièrement élevées sont posées quant à la mise à profit de la capacité de gain du parent débirentier (ATF 137 III 118 consid. 3.1 ; TF 5A_254/2019 du 18 juillet 2019 consid. 3.1).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137 III 118 précité op. cit. ; TF 5A_513/2012 du 17 octobre 2012 consid. 4 ; TF 5A_587/2013 du 26 novembre 2013 consid. 6.1.1). Lorsque le débirentier diminue son revenu dans l’intention de nuire, une modification de la contribution d’entretien est exclue même si la réduction de revenu est irrémédiable (ATF 143 III 233 précité consid. 3.4). Par ailleurs, même dans l’hypothèse d’une perte involontaire d’emploi, il faut encore examiner si la personne concernée a déployé tous les efforts possibles pour retrouver une activité professionnelle équivalente à la précédente en termes de revenus (TF 4A_794/2020 du 3 décembre 2021 consid. 3.1 et les réf. citées). Si auparavant la reprise d’une activité lucrative était fixée en fonction de l’âge au moment de la séparation, est désormais déterminant un examen concret sur la base de différents critères tels que l’âge, l’état de santé, les connaissances linguistiques, la formation professionnelle et la formation continue antérieure et à venir, l’expérience professionnelle, la flexibilité personnelle et géographique, le marché du travail, etc. (ATF 147 III 308 consid. 5.5 et 5.6). Cet examen concret se fait en deux étapes successives. Tout d'abord, il sied d’examiner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convient de déterminer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 En bref, l’obtention du revenu hypothétique doit donc être, d’une part, exigible et, d’autre part, possible. Pour arrêter le montant du salaire, le juge peut éventuellement se baser sur l'enquête suisse sur la structure des salaires, réalisée par l'Office fédéral de la statistique (www.lohnrechner.bfs.admin.ch/Pages/SalariumWizard.aspx?lang=fr ; ci-après : Salarium), ou sur d'autres sources, comme des conventions collectives de travail (ATF 137 III 118 précité consid. 3.2, JdT 2011 II 486 ; TF 5A_782/2016 du 31 mai 2017 consid. 5.3), pour autant qu'ils soient pertinents par rapport aux circonstances d'espèce (TF 5A_690/2019 du 23 juin 2020 consid. 4.3.1 ; TF 5A_461/2019 précité consid. 3 ; TF 5A_112/2013 du 25 mars 2013 consid. 4.1.3). L'utilisation de statistiques pour arrêter le salaire hypothétique n'est nullement impérative, en particulier lorsqu'un revenu concrètement existant peut fournir un point de départ (ATF 147 III 265 précité consid. 3.2 et les réf. citées).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5A_584/2016 du 14 février 2017 consid. 5.1 et réf. cit. ; TF 5A_372/2016 du 18 novembre 2016 consid. 3.1 ; TF 5A_317/2011 du 22 novembre 2011 consid. 6.2, non publié aux ATF 137 III 614). De même, lorsque le crédirentier renonce volontairement à une activité lucrative, alors qu'il travaillait déjà avant la séparation, il n'est pas arbitraire de lui imputer le revenu qu'il gagnait précédemment, ce avec effet rétroactif au jour de la renonciation (TF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 TF 5A_584/2016 du 14 février 2017 consid. 5.1 et réf. cit. ; TF 5A_318/2014 du 24 juin 2014 consid. 3.1.3.2 ; TF 5A_662/2013 du 24 juin 2014 consid. 3.2.1 in fine ; TF 5A_587/2013 du 26 novembre 2013 consid. 6.1.1).</w:t>
      </w:r>
    </w:p>
    <w:p>
      <w:r>
        <w:rPr>
          <w:b/>
        </w:rPr>
        <w:t>E. 3.3</w:t>
      </w:r>
    </w:p>
    <w:p>
      <w:r>
        <w:t>En l’espèce, l’intimé n’ayant pas déposé d’appel, le principe d’un revenu hypothétique n’est pas remis en cause, seul le montant retenu étant contesté par l’appelante. Le premier juge s’est fondé sur le revenu que l’intéressé a gagné en travaillant très brièvement en qualité d’aide de bureau. L’appelante fait valoir qu’il aurait fallu se fonder sur le salaire d’un dessinateur. A ce sujet, on relèvera que le jugement indique que l’intimé est titulaire d’un CFC de dessinateur, alors que certaines pièces produites en première instance mentionnent un CFC de géomètre. Il ressort en réalité du dossier que l’intimé est titulaire d’un CFC de dessinateur-géomètre. Dans sa demande d’allocation d’initiation au travail produite en première instance, l’intimé indiquait qu’il pouvait espérer un revenu de l’ordre de 60'000 fr., « à définir », après l’initiation. Cela n’est toutefois pas déterminant dans la mesure où l’on ignore sur quelle base ce montant était avancé. Cependant, la critique de l’appelante est fondée en ce sens qu’elle reproche au premier juge de n’avoir pas tenu compte du fait que l’intimé est titulaire d’un CFC de dessinateur-géomètre, ce dont il n’y a pas de raison de faire abstraction. L’intimé objecte, ce qui était déjà retenu dans l’ordonnance, qu’il n’a pas travaillé dans son domaine depuis une dizaine d’années, et qu’il ne serait plus à jour dans les techniques appliquées actuellement. On ne peut toutefois considérer, simplement du fait que quelqu’un n’a pas travaillé, sans aucune raison valable, qu’il est incapable de le faire. Il n’y a pas davantage de raisons de tenir compte du fait, qu’il invoque dans sa réponse, que l’intéressé a été condamné à une peine privative de liberté. Cela reviendrait à le faire bénéficier du fait qu’il ne s’est pas acquitté des contributions d’entretien mises à sa charge, raison pour laquelle il a été condamné. Cela étant, il reste à déterminer le montant du revenu hypothétique qui doit être imputé à l’intimé. L’appelante se fonde sur la pièce 4 produite en première instance, qui est un extrait du Salarium concernant la métallurgie. Ce n’est pas pertinent, non seulement, on l’a vu, car il n’y a pas lieu de se fonder sur le revenu d’un employé de bureau, mais également car le fait que son dernier employeur – pour un poste d’employé de bureau – était actif dans le domaine de la métallurgie ne signifie pas pour autant que c’est dans ce domaine-là qu’il devrait exercer en tant que dessinateur-géomètre. L’appelante fait en revanche valoir, avec plus de raison, qu’en 2013 et 2014, avant de cesser de travailler, l’intéressé avait réalisé un revenu annuel brut de 83'500 fr. par an. C’est exact, mais l’examen de la pièce produite en lien avec cela montre qu’il s’agissait de deux années exceptionnelles. Selon le Salarium, un homme de l’âge de l’intimé, travaillant dans une profession intermédiaire des sciences et techniques dans l’architecture et l’ingénierie, sans fonction de cadre et sans aucune année de service, perçoit un revenu médian brut, calculé sur douze mois et sans paiements spéciaux,  de 5'571 francs. En cherchant avec les mêmes données dans le génie civil, on parvient à un montant légèrement supérieur (6'193 fr.). Il convient dès lors de retenir le premier montant. Dans la mesure où celui-ci correspond à un revenu brut, il y a encore lieu d’en déduire les charges sociales, qui peuvent être estimées – compte tenu du fait que les cotisations LPP varient de cas en cas – à 13.225% (Juge délégué CACI 3 mai 2022/239 ; CACI 6 juillet 2020/287 ; CACI 26 août 2016/473). Le revenu hypothétique de l’intimé sera par conséquent arrêté à un montant arrondi à 4'830 fr. (5'571 - [13.225% x 5’571]) par mois, lequel paraît raisonnable, compte tenu de l’ensemble des circonstances.</w:t>
      </w:r>
    </w:p>
    <w:p>
      <w:r>
        <w:rPr>
          <w:b/>
        </w:rPr>
        <w:t>E. 3.4</w:t>
      </w:r>
    </w:p>
    <w:p>
      <w:r>
        <w:t>Cela étant, le premier juge n’a retenu aucune charge relative à de « quelconque frais d’acquisition de revenu » au motif qu’il ne s’agit pas de charge effectives de l’intimé. Il ne peut être suivi sur ce point. En effet, lorsqu’un revenu hypothétique est imputé au débiteur, c’est au regard de ce revenu que les charges doivent être arrêtées (cf. pour la charge fiscale, TF 5A_679/2011 du 10 avril 2012 consid. 10.2 ; TF 5A_958/2014 du 12 mai 2015 consid. 5.1.3 ; TF 5A_782/2016 du 31 mai 2017 consid. 6). Le revenu hypothétique imputé implique des frais hypothétiques d’acquisitions du revenu. Il y a dès lors lieu de tenir compte des charges généralement admis en lien avec l’exercice d’une activité professionnelle, telles que les frais de repas pris à l’extérieur et les frais de transport. Ceux-ci seront arrêtés forfaitairement à 238 fr. 70 (21.7 jours par mois x 11 fr.) pour les premiers et à 264 fr. (abonnement « Mobilis » mensuel 12 zones et plus) pour les seconds, soit à un montant total arrondi de 500 fr., par ailleurs admis par l’appelante. En outre, en réalisant les revenus précités, l’intimé ne pourrait plus bénéficier des subsides de l’assurance maladie. Dès lors, il se justifie de tenir compte, dans le calcul de ses charges essentielles, de l’entier de sa prime pour l’assurance de base, d’un montant de 322 fr. 80 par mois. Dans le même ordre d’idée, il y a lieu, au regard de la jurisprudence précitée (cf. consid. 3.4 supra ), de retenir, dans les charges de l’intimé, la charge fiscale hypothétique liée au revenu qui lui est imputé, en tenant compte également des contributions d’entretien dont il devrait s’acquitter en faveur de ses trois enfants. Selon le simulateur fiscal de l’Administration fédérale des contributions (AFC ; https://swisstaxcalculator.estv.admin.ch/#/calculator/income-wealth-tax), pour une personne seule à [...] gagnant 57'960 fr. par an (4'830 x 12) et s’acquittant d’un loyer de 9'600 fr. par an (800 x 12) et de contributions d’entretien prévisibles d’un montant global correspondant au disponible de l’intimé après impôts, estimé à 1'700 fr. par mois, soit 20'400 fr. par an, la charge fiscale hypothétique est de 3’254 fr. par an, soit 271 fr. 15 par mois. En définitive, la capacité contributive de l’intimé doit ainsi être calculée en tenant compte d’un revenu de 4'830 fr. et de charges de 3'093 fr. 95 (2'000 + 500 + 322.80 + 271.15), soit d’un disponible de 1'736 fr. 05 par mois.</w:t>
      </w:r>
    </w:p>
    <w:p>
      <w:r>
        <w:rPr>
          <w:b/>
        </w:rPr>
        <w:t>E. 4</w:t>
      </w:r>
    </w:p>
    <w:p>
      <w:r>
        <w:t>Le second grief de l’appelante concerne le dies a quo de la contribution d’entretien. L’appelante fait valoir, ce qui est exact, qu’elle a demandé dans sa requête du 24 mars 2022 une contribution à partir du 1 er juin 2021 et se fonde sur l’art. 279 al. 1 CC. Ce moyen est fondé. Le premier juge n’a pas indiqué pour quelle raison il avait alloué la contribution d’entretien à partir du 1 er avril 2022. On devine qu’il s’est fondé sur la date de la requête. Mais les articles 279 al. 1 CC et 173 al. 3 CC, applicables par analogie dans le cadre de l'organisation de la vie séparée selon l'art. 176 CC, permettent de réclamer une contribution pour l’année précédant la requête (TF 5A_454/2017 du 17 mai 2018 consid. 4.1, non publié in ATF 144 III 377, et les réf. citées). Cette faculté est donnée pour toutes les contributions d’entretien du droit de la famille, qu’elles soient fixées dans le cadre de mesures protectrices de l’union conjugale ou de mesures provisoires pendant la procédure de divorce (Stoudmann, Le divorce en pratique, Lausanne 2021, p. 335 et les réf. citées). En l’espèce, les parties vivent séparées depuis 2019, mais aucune contribution d’entretien en faveur de l’enfant n’avait précédemment été fixée. La jurisprudence citée par l’intimé (TF 5A_788/20221 du 12 avril 2022, cons. 6.1.2), qui a trait à la modification du jugement de divorce, n’est pas pertinente. L’intimé fait aussi valoir que dans les cas où comme en l’espèce, on retient un revenu hypothétique sans donner de délai au débirentier, il ne se justifierait pas de fixer une contribution pour l’année précédant la requête. Ce moyen est sans portée. Le premier juge a retenu que l’intimé refusait obstinément de travailler, et il ne le conteste pas. Comme le premier juge l’a retenu, les exigences sont particulièrement élevées en matière d’entretien d’enfants mineurs, et il appartenait à l’intimé de tout mettre en œuvre pour honorer ses obligations familiales. Il appartenait ainsi à l’intimé de le faire déjà avant le dépôt de la requête. Compte tenu de ce qui précède, la contribution d’entretien qui sera mise à la charge de l’intimé en faveur de sa fille A.________ sera due dès le 1 er avril 2021.</w:t>
      </w:r>
    </w:p>
    <w:p>
      <w:r>
        <w:rPr>
          <w:b/>
        </w:rPr>
        <w:t>E. 5</w:t>
      </w:r>
    </w:p>
    <w:p>
      <w:r>
        <w:t>Dans un troisième grief, l’appelante reproche au premier juge d’avoir réparti le disponible à parts égales entre les trois enfants de l’intimé. Elle fait valoir que les autres enfants sont âgés de 13 et 11 ans, de sorte que leurs mères devraient travailler « à 80 % à tout le moins, si ce n’est plus, puisque l’intimé n’a que rarement contribué à leur entretien, le dernier versement au BRAPA ayant eu lieu le 25 mai 2018 ». Il est exact qu’en principe il est exigible du parent qui assure la prise en charge des enfants qu’il travaille à 50 % à compter de l'entrée à l'école obligatoire du plus jeune des enfants, à 80 % dès le passage de ce dernier au degré secondaire et à 100 % dès qu'il a atteint l'âge de 16 ans révolus (ATF 144 III 481, consid. 4.7.6). Cela étant posé, l’argument de l’appelante n’est pas loin de l’abus de droit, dans la mesure ou sa fille, née en 2016, est en âge d’aller à l’école obligatoire, et qu’elle-même ne travaille pas. Cela étant, il y a lieu de constater qu’il ne se justifie pas de tenir compte, dans l’entretien convenable de A.________, du déficit de l’appelante en tant que contribution de prise en charge. En effet, le manco que présente le budget de la mère n’est pas dû à la prise en charge de sa fille, mais à sa situation en particulier sur le plan administratif. Le premier juge a en effet retenu qu’il ne pouvait être attendu de la mère qu’elle travaille à ce stade, dans la mesure notamment où elle ne disposait d’aucun titre de séjour lui permettant de le faire et maîtrisait peu le français. Quant à l’âge de l’enfant, il n’est pas déterminant en l’espèce puisque A.________, A.________fréquente l’école primaire depuis la rentrée 2021 et qu’il pourrait ainsi, sous cet angle, être attendu de l’appelante qu’elle travaille au minimum à 50%. Partant, l’entretien convenable de A.________ est uniquement composé de ses coûts directs et d’une éventuelle participation à l’excédent de son père, dont il sera question ci-après. Il n’est pas possible de fixer dans l’arrêt les besoins concrets des autres enfants de l’appelant, ou les ressources que le parent gardien pourrait consacrer à leur entretien. Comme le fait valoir l’intimé dans sa réponse, il ressort des pièces du dossier de première instance qu’il est débiteur d’une pension de 800 fr. pour l’un de ses fils et de 900 fr. pour l’autre. Malgré l’imputation d’un revenu hypothétique de 4'830 fr. par mois, le disponible de l’intimé ne lui permet pas de couvrir à la fois les pensions mises à sa charge en faveur de ses fils et l’entretien convenable de sa fille. En outre, on ignore sur quelle base de calcul ces contributions d’entretien ont été définies et que est le montant des coûts directs actuels de F.________ et G.________. En outre, il est avéré que l’intéressé a cessé de les verser depuis plusieurs années, quel qu’ait été le montant de ses revenus. Dans ces circonstances, il ne saurait être question de limiter la contribution d’entretien due en faveur de A.________ au montant de ses coûts directs, de 280 fr. par mois, pour affecter l’entier du solde aux deux enfants d’un autre lit, dans la mesure où aucun élément au dossier ne permet de supposer que leurs coûts directs seraient plus élevés que ceux de A.________. En revanche, dans la mesure où il peut être tenu pour suffisamment vraisemblable que l’intimé devrait s’acquitter à tout le moins d’une partie de l’entretien de ses fils, il se justifie, par équité entre les trois enfants mineurs, de répartir à parts égales entre eux le disponible de l’intimé, à raison d’un montant arrondi à 578 fr. chacun (1’736 fr. 05 / 3). Il sera relevé que ce montant couvre l’entier des coûts directs de A.________ et lui permet, en sus, de bénéficier d’une partie du disponible de son père, par 298 francs. L’entretien convenable de A.________, selon l’art. 287a CC, étant entièrement couvert, il n’y a pas lieu de le mentionner dans le dispositif de l’arrêt ( ATF 147 III 265 consid. 7.2 et les références citées ).</w:t>
      </w:r>
    </w:p>
    <w:p>
      <w:r>
        <w:rPr>
          <w:b/>
        </w:rPr>
        <w:t>E. 6.1</w:t>
      </w:r>
    </w:p>
    <w:p>
      <w:r>
        <w:t>Compte tenu de ce qui précède, l’appel doit être partiellement admis et l’ordonnance réformée aux chiffres I et II de son dispositif en ce sens que la contribution d’entretien due par l’intimé en faveur de A.________ est fixée à 571 fr. dès le 1 er juin 2021 (I) et que le montant de son entretien convenable n’est pas précisé (II).</w:t>
      </w:r>
    </w:p>
    <w:p>
      <w:r>
        <w:rPr>
          <w:b/>
        </w:rPr>
        <w:t>E. 6.2</w:t>
      </w:r>
    </w:p>
    <w:p>
      <w:r>
        <w:t>Les frais judiciaires de deuxième instance, arrêtés à 600 fr. (art. 65 al. 2 TFJC [tarif des frais judiciaires civils du 28 septembre 2010 ; BLV 270.11.5]), doivent être mis répartis par moitié entre les parties, aucune d’entre elles n’obtenant entièrement gain de cause (art. 106 al. 2 et 107 al. 1 let. c CPC). Pour les mêmes motifs, les dépens de deuxième instance doivent être compensés.</w:t>
      </w:r>
    </w:p>
    <w:p>
      <w:r>
        <w:rPr>
          <w:b/>
        </w:rPr>
        <w:t>E. 6.3</w:t>
      </w:r>
    </w:p>
    <w:p>
      <w:r>
        <w:t>S’agissant de l’indemnité due au conseil d’office de l’appelante, Me Jérôme Campart a déposé une liste de ses opérations le 19 août 2022 faisant état d’un temps consacré au dossier de 6 heures et 50 minutes. Le nombre d’heures indiqué ne prête pas le flanc à la critique. Ainsi, au tarif horaire de 180 fr. pour l'avocat (art. 2 al. 1 let. a RAJ [Règlement sur l'assistance judiciaire en matière civile du 7 décembre 2010 ; BLV 211.02.3]), l’indemnité d’office de Me Campart doit être arrêtée à 1'230 fr. pour les honoraires (6h50 x 180 fr.), débours par 24 fr. 60 (2% x 1’230 fr. ; art. 3 bis al. 1 RAJ) et TVA sur le tout par 96 fr. 60 non compris, soit à un montant total de 1'351 fr. 20. S’agissant de l’indemnité due au conseil d’office de l’intimé, Me Sébastien Pedroli a déposé une liste de ses opérations le 19 août 2022 faisant état d’un temps consacré au dossier de 5 heures et 15 minutes, ainsi que de frais de photocopies et débours par un montant total de 56 fr. 90 (43 + 13.90). Le nombre d’heures indiqué ne prête pas le flanc à la critique. En revanche, en application de l’art. 3 bis al. 1 RAJ, les débours forfaitaires ne sauraient excéder 2% des honoraires. Au tarif horaire de 180 fr. pour l'avocat (art. 2 al. 1 let. a RAJ), l’indemnité d’office de Me Pedroli doit ainsi être arrêtée à 945 fr. pour les honoraires (5h15 x 180 fr.), débours par 18 fr. 90 (2% x 945 fr. ; art. 3 bis al. 1 RAJ) et TVA sur le tout par 74 fr. 20 non compris, soit à un montant total de 1'038 fr. 10. 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 Par ces motifs, le juge unique de la Cour d’appel civile prononce : I. L’appel est partiellement admis. II. L’ordonnance est réformée aux chiffres I et II de son dispositif, comme il suit : I. astreint H.________ à contribuer à l’entretien de sa fille A.________, née le [...] 2016, par le régulier versement d’une pension mensuelle d’un montant de 578 fr. (cinq cent septante-huit francs), payable d’avance le premier de chaque mois à N.________ dès et y compris le 1 er avril 2021 ; II. [ supprimé ] L’ordonnance est maintenue pour le surplus. III. Les frais judiciaires de deuxième instance, arrêtés à 600 fr. (six cents francs), sont provisoirement laissés à la charge de l’Etat, à raison de 300 fr. (trois cents francs) pour l’appelante N.________ et à raison de 300 fr. (trois cents francs) pour l’intimé H.________. IV. L’indemnité d’office de Me Jérôme Campart, conseil de l’appelante N.________, est arrêtée à 1'351 fr. 20 (mille trois cent cinquante et un francs et vingt centimes), TVA et débours compris. V. L’indemnité d’office de Me Sébastien Pedroli, conseil de l’intimé H.________, est arrêtée à 1'038 fr. 10 (mille trente-huit francs et dix centimes), TVA et débours compris. VI. Les bénéficiaires de l’assistance judiciaire sont tenus au remboursement des frais judiciaires et des indemnités aux conseils d’office, laissés provisoirement à la charge de l’Etat, dès qu’ils seront en mesure de le faire. VII. Les dépens de deuxième instance sont compensés. VIII. L’arrêt est exécutoire. Le juge unique :               La greffière : Du Le présent arrêt, dont la rédaction a été approuvée à huis clos, est notifié en expédition complète à : ‑ Me Jérôme Campart (pour N.________), ‑ Me Sébastien Pedroli (pour H.________), et communiqué, par l'envoi de photocopies, à : ‑ M. le Vice-Président du Tribunal d’arrondissement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