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77 vom 7. Februar 2022</w:t>
      </w:r>
    </w:p>
    <w:p>
      <w:r>
        <w:t>VD Tribunal cantonal, 2022-02-07, FR</w:t>
      </w:r>
    </w:p>
    <w:p>
      <w:r>
        <w:rPr>
          <w:b/>
        </w:rPr>
        <w:t xml:space="preserve">Quelle: </w:t>
      </w:r>
      <w:r>
        <w:t>https://mcp.opencaselaw.ch/entscheid/vd_findinfo_HC___2022___77</w:t>
      </w:r>
    </w:p>
    <w:p>
      <w:r>
        <w:t>FR: VD_FINDINFO HC / 2022 / 77 du 7 février 2022</w:t>
      </w:r>
    </w:p>
    <w:p>
      <w:r>
        <w:t>IT: VD_FINDINFO HC / 2022 / 77 del 7 febbraio 2022</w:t>
      </w:r>
    </w:p>
    <w:p>
      <w:pPr>
        <w:pStyle w:val="Heading2"/>
      </w:pPr>
      <w:r>
        <w:t>Regeste</w:t>
      </w:r>
    </w:p>
    <w:p>
      <w:r>
        <w:t>MESURE PROVISIONNELLE, USUFRUIT | 473 CC, 745 CC</w:t>
      </w:r>
    </w:p>
    <w:p>
      <w:pPr>
        <w:pStyle w:val="Heading2"/>
      </w:pPr>
      <w:r>
        <w:t>Erwägungen</w:t>
      </w:r>
    </w:p>
    <w:p>
      <w:r>
        <w:rPr>
          <w:b/>
        </w:rPr>
        <w:t>E. 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judiciaire du 12 décembre 1979 ; BLV 173.01]). Formé en temps utile, par une partie qui a un intérêt digne de protection (art. 59 al. 2 let. a CPC) et portant sur des conclusions relatives à l’exercice d’un droit d’usufruit dont la valeur litigieuse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[cité ci-après : CR-CPC], nn. 2 ss ad art. 310 CPC). Le large pouvoir d'examen en fait et en droit ainsi défini s'applique même si la décision attaquée est de nature provisionnelle (JdT 2011 Ill 43 consid. 2 et les réf. citées). En matière de mesures provisionnelles, la cognition du juge est limitée à la simple vraisemblance des faits et à un examen sommaire du droit, en se fondant sur les moyens de preuve immédiatement disponibles (ATF 139 III 86 consid. 4.2 ; ATF 138 III 636 consid. 4.3.2 ; TF 5A_157/2020 du</w:t>
      </w:r>
    </w:p>
    <w:p>
      <w:r>
        <w:rPr>
          <w:b/>
        </w:rPr>
        <w:t>E. 2.2</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S'agissant des vrais nova ( echte Noven ), soit les faits qui se sont produits après la fin des débats principaux de première instance (art. 229 al. 1 CPC), moment qui correspond au début des délibérations (sur cette notion lorsque la cause est gardée à juger, cf. ATF 143 III 272 consid. 2.3.2), la condition de la nouveauté de leur découverte posée par la lettre b est sans autre réalisée et seule celle d'allégation immédiate de la lettre a doit être examinée (TF 4A_76/2019 du 15 juillet 2020 consid. 8.1.1). En l’espèce, les pièces produites par l’intimée le 13 décembre 2021 sont recevables, s’agissant de pièces postérieures à la clôture de l’instruction de première instance et qui ont été produites en temps utile. L’état de fait a été complété avec ceux-ci dans la mesure de leur pertinence. 3. 3.1 L’appelante allègue une série de faits en pages 2 à 5 de son appel. 3.2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(TF 5A_356/2020 du 9 juillet 2020 consid. 3.2 et les réf. citées). 3.3 En l’espèce, les allégations de fait en pages 2 à 5 de l’appel ne sont pas recevables. L’appelante se contente en effet d’exposer sa propre version des faits, ce qui ne répond pas aux exigences de motivation rappelées ci-dessus. Tout au plus peut-on retenir qu’au chiffre 20 de cette partie en fait, l’appelante reproche à la première juge d’avoir retenu que c’était l’intimée qui avait contacté l’avocat Cédric Thaler. Ce dernier élément ne ressort toutefois pas de l’ordonnance entreprise. Il y est en effet indiqué que A.________ a déclaré que c’était sa fille qui avait proposé de prendre contact avec l’avocat prénommé (cf. ordonnance entreprise, ch. 9). 4. 4.1 L’appelante se plaint que la première juge ait retenu que l’intimée avait la capacité de discernement lorsqu’elle a mandaté l’avocat Cédric Thaler. Selon l’appelante, au vu de son âge et des constatations du Dr W.________, il ne ferait aucun doute que l’état de santé de sa mère s’est dégradé. De plus, dans sa décision du 6 juillet 2020, la justice de paix aurait retenu que l’intimée n’était pas en mesure de désigner un mandataire. 4.2 Est capable de discernement au sens de l'art. 16 CC, toute personne qui n'est pas privée de la faculté d'agir raisonnablement en raison de son jeune âge, de déficience mentale, de troubles psychiques, d'ivresse ou d'autres causes semblables. Sous réserve des exceptions prévues par la loi, les actes de celui qui est incapable de discernement n'ont pas d'effets juridiques (art. 18 CC). Les conditions de l'incapacité de discernement constituent des faits dirimants qui entraînent l'inefficacité de l'acte. Afin de protéger la confiance et la sécurité des transactions, le législateur part néanmoins du principe qu'une personne adulte est capable d'agir raisonnablement, sans qu'il soit nécessaire d'apporter d'autre preuve. Celui qui invoque l'inefficacité d'un acte pour cause d'incapacité de discernement doit ainsi prouver l'un des états de faiblesse décrits à l'art. 16 CC et l'altération de la capacité d'agir raisonnablement qui en est la conséquence (preuve principale ; ATF 144 III 264 consid. 6.1.2 et les réf. citées). Cette preuve n'est soumise à aucune prescription particulière (ATF 124 III 5 consid. 1b ; ATF 117 II 231 consid. 2b et les réf. citées ; TF 5A_465/2019 du 4 octobre 2019 consid. 4.1). 4.3 En l’espèce, la première juge a retenu que, dans sa décision du 6 juillet 2020, la justice de paix avait constaté que l’intimée avait, selon certificat médical du 19 juin 2020, sa pleine et entière capacité de discernement, raison pour laquelle cette autorité n'avait pas jugé utile de restreindre l'exercice de ses droits civils. Partant, Me Cédric Thaler était habilité à représenter l’intimée sans le concours de sa curatrice, conformément à la procuration qu'elle avait signée seule le 23 juin 2021. 4.4 Contrairement à ce que soutient l’appelante, l’état de santé de l’intimée ne paraît pas s’être détérioré. Le Dr W.________ a en effet déclaré, à l’audience du 15 décembre 2021, que les troubles neurocognitifs légers dont souffraient l’intimée n’étaient pas particulièrement incisifs et que l’intéressée se portait bien pour son âge. Il a par ailleurs indiqué que les intervenants qui prennent en charge l’intimée, en particulier son ergothérapeute, n’étaient pas opposés à un retour à domicile. Le fait que l’appelante « confirme » la dégradation de l’état de santé de sa mère n’est ainsi pas pertinent au regard de l’avis des intervenants qui prennent soin d’elle au quotidien. S’agissant de la décision du 6 juillet 2020 de la justice de paix, il y est indiqué que l’aide de la curatrice est nécessaire à l’intimée pour contrôler la gestion d’un mandataire, mais non pour le désigner, comme soutenu à tort par l’appelante. Il ressort précisément de cette décision que la capacité de discernement de l’intimée est pleinement conservée. On ne saurait par ailleurs suivre l’appelante lorsqu’elle prétend que l’incapacité de discernement de sa mère serait établie par le fait qu’elle aurait oublié le français. Interrogé sur cette question à l’audience d’appel, le témoin W.________ a déclaré ne pas l’avoir constaté, mais qu’il était plus facile de parler à l’intimée en allemand afin d’être sûr qu’elle comprenne ce qu’on lui disait et qu’il s’agissait d’une forme d’empathie. Le médecin prénommé a ajouté que l’intimée n’avait pas besoin d’un interprète dans sa vie quotidienne. Le moyen tiré de la prétendue incapacité de discernement de l’intimée doit dès lors être rejeté. On doit retenir, comme la première juge, que l’intimée avait la pleine capacité de discernement lorsqu’elle a mandaté Me Cédric Thaler et que cette capacité de discernement est conservée. D’ailleurs, à l’audience d’appel, l’intimée a dit qu’elle était d’accord que Me Cédric Thaler travaille pour elle et qu’il s’agissait d’un bon avocat qui prenait soin d’elle. 5. 5.1 L’appelante reproche à la première juge d’avoir considéré que l’avocat de sa mère, Me Cédric Thaler, était capable de postuler. Selon l’appelante, il serait incontestable que l’avocat prénommé a été d’abord mandaté par A.________ et C.S.________. A.________ aurait en effet clairement déclaré avoir consulté cet avocat en premier. 5.2 Aux termes de l'art. 12 let. c LLCA (loi fédérale sur la libre circulation des avocats du 23 juin 2000 ; RS 935.61), l'avocat évite tout conflit entre les intérêts de son client et ceux des personnes avec lesquelles il est en relation sur le plan professionnel ou privé. Celui qui, en violation de cette obligation, accepte ou poursuit la défense d'intérêts contradictoires doit se voir dénier par l'autorité la capacité de postuler. L'interdiction de plaider est, en effet, la conséquence logique du constat de l'existence d'un tel conflit (ATF 147 III 351 consid. 6.1.3 ; ATF 138 II 162 consid. 2.5.1).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145 IV 218 consid. 2.1 ; ATF 141 IV 257 consid. 2.1 ; TF 1B_582/2019 du 20 mars 2020 consid. 5.1).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(ATF 145 IV 218 consid. 2.1 et les réf. citées). Le devoir de fidélité exclut a fortiori que l'avocat procède contre un client actuel (ATF 145 IV 218 consid. 2.1 ; ATF 134 II 108 consid. 5.2 ; TF 1B_582/2019, déjà cité, consid. 5.1).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(TF 1B_59/2018 du 31 mai 2018 consid. 2.4 ; TF 1B_20/2017 du 23 février 2017 consid. 3.1). Dès que le conflit d'intérêts survient, l'avocat doit mettre fin à la représentation (ATF 135 II 145 consid. 9.1 ; ATF 134 II 108 consid. 4.2. ; TF 1B_582/2019, déjà cité, consid. 5.1).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Il y a aussi conflit d'intérêts au sens de la disposition susmentionnée dès que survient la possibilité d'utiliser, consciemment ou non, dans un nouveau mandat les connaissances acquises antérieurement, sous couvert du secret professionnel, dans l'exercice d'un mandat antérieur (ATF 145 IV 218 consid. 2.1 ; TF 1B_582/2019, déjà cité, consid. 5.1 ; TF 1B_209/2019 du 19 septembre 2019 consid. 4.1 ; TF 2C_898/2018 du 30 janvier 2019 consid. 5.2). 5.3 En l’espèce, la première juge a considéré que, contrairement aux allégations de l’appelante, quand bien même Me Cédric Thaler faisait référence, dans son courrier du 21 juin 2021, à celui du 9 juin 2021, ce dernier n'indiquait pas avoir été consulté par C.S.________, mais uniquement par l’intimée. Au vu de l'absence de tout autre élément au dossier permettant de rendre vraisemblable l'existence d'un potentiel conflit d'intérêts, la capacité de représentation du conseil de l’intimée devait être confirmée. 5.4 Contrairement à ce que soutient l’appelante, il est suffisamment rendu vraisemblable que ni A.________ ni C.S.________ n’ont consulté l’avocat Cédric Thaler avant qu’il agisse pour le compte de l’intimée. Certes, c’est la fille de A.________ qui a proposé de prendre contact avec Me Cédric Thaler. A.________ était par ailleurs présent lorsque Me Cédric Thaler a rencontré l’intimée à l’EMS. Il n’a toutefois joué qu’un rôle d’intermédiaire pour le compte de sa tante et marraine. Quant à C.S.________, elle a déclaré à l’audience d’appel qu’elle n’avait jamais vu cet avocat auparavant. Pour ce qui est du courrier du 9 juin 2021, Me Cédric Thaler n’y a pas répondu dans son courrier du 21 juin 2021. Il s’y est seulement référé, dans la mesure où ce courrier lui avait été transmis. On ne voit dès lors pas de conflit d’intérêts. L’appelante n’expose d’ailleurs pas ce qui serait constitutif d’un tel conflit. Pour le surplus, on relèvera qu’à l’audience du 2 novembre 2021 tenue par la juge de paix, le conseil de l’appelante a déclaré qu’elle acceptait que son signalement en lien avec la potentielle incapacité de représentation de Me Cédric Thaler soit classé sans suite. C’est dès lors à raison que l’autorité de première instance n’a pas constaté que le conseil de l’intimée était incapable de postuler. 6. 6.1 L’appelante soulève l’exception de litispendance et reproche à l’autorité de première instance d’être entrée en matière sur les conclusions de la requête de mesures provisionnelles au vu du dépôt de sa requête auprès de l’autorité de conciliation. 6.2 Le principe de la litispendance tend en particulier à éviter qu'il existe, dans un ordre juridique déterminé, deux décisions judiciaires contradictoires sur la même action et entre les mêmes parties, qui seraient également et simultanément exécutoires (ATF 127 III 279 consid. 2b). Plus généralement, il s'agit de prévenir les procédés inutiles de nature à surcharger les tribunaux, en empêchant qu'une contestation identique fasse l'objet de plusieurs procès distincts et simultanés entre les mêmes parties (TF 4A_141/2013 du 22 août 2013 consid. 2.2). La litispendance préexistante entraîne l’irrecevabilité de la demande (art. 59 al. 2 let. d CPC). Il y a identité d'objet lorsque, dans l'un et l'autre procès, les parties soumettent au tribunal la même prétention, en reprenant les mêmes conclusions et en se basant sur le même complexe de faits (TF 4A_481/2017 du 25 juillet 2018 consid. 3.1). L’objet du litige se détermine par les conclusions de la demande, à savoir le prononcé requis (l’objet au sens étroit), et par le conglomérat de faits à la base de la demande (la cause), étant précisé que le fondement juridique n’est pas déterminant à moins que les conclusions ne le mentionnent (ATF 139 III 126 consid. 3.2.3). 6.3 En l’espèce, la première juge a considéré que la requête déposée par l’intimée le 2 août 2021 avait deux objets, soit d’une part obtenir les clés et pouvoir entrer chez elle (III et IV) et, d’autre part, l’expulsion de l’appelante (V et VI). Elle a retenu que la requête déposée devant l’autorité de conciliation tendait à faire constater la nullité, respectivement à faire annuler, une lettre de congé. Ainsi, les conclusions III et IV de la requête ne portaient pas sur le même objet que celui visé par la requête de conciliation. L'exception de litispendance invoquée par l'appelante n'était ainsi pas réalisée s'agissant des conclusions III et IV de la requête de mesures provisionnelles du 2 août 2021, lesquelles étaient recevables. 6.4 Force est tout d’abord de relever que l’existence d’un contrat de bail entre l’appelante et l’intimée apparaît hautement invraisemblable. Le 9 juin 2021, le conseil de l’appelante s’adressait à C.S.________ en indiquant qu’il faudrait « régler les questions pratiques liées à la prise en charge de l’immeuble », ce qui n’aurait aucun sens si un bail avait été conclu. Interrogée sur cette question à l’audience d’appel, l’appelante n’a pas dit s’être mise d’accord avec quelqu’un à ce sujet ni même en avoir parlé avec la curatrice de sa mère. L’absence de concertation avec la curatrice a été confirmée par celle-ci. Invoquer l’exception de litispendance ensuite du dépôt de la requête en annulation du congé relève ainsi de l’abus de droit. C’est par ailleurs à raison que la première juge a considéré qu’il n’y avait pas de litispendance préexistante s’agissant de la remise des clés. Il en va de même du fait de savoir si l’intimée doit être autorisée ou non à pouvoir entrer et rester dans l’immeuble sur lequel elle jouit d’un droit d’usufruit. La procédure pendante en matière de bail ne concerne pas ces deux questions. Il n’existe ainsi aucun risque de jugements contradictoires pour le cas où l’autorité compétente en matière de bail à loyer devait considérer que les parties étaient liées par un contrat de bail et qu’un congé, nul ou annulable, a été signifié à l’appelante. On relèvera au surplus que, dans la mesure où les clés ont été remises à l’intimée par l’appelante, la question n’est en l’état plus litigieuse et que le grief de l’appelante est sans objet.</w:t>
      </w:r>
    </w:p>
    <w:p>
      <w:r>
        <w:rPr>
          <w:b/>
        </w:rPr>
        <w:t>E. 7</w:t>
      </w:r>
    </w:p>
    <w:p>
      <w:r>
        <w:t>août 2020 consid. 4.2 ; TF 5A_812/2015 du 6 septembre 2016 consid. 5.2 ; TF 5A_823/2013 du 8 mai 2014 consid. 1.3).</w:t>
      </w:r>
    </w:p>
    <w:p>
      <w:r>
        <w:rPr>
          <w:b/>
        </w:rPr>
        <w:t>E. 7.1</w:t>
      </w:r>
    </w:p>
    <w:p>
      <w:r>
        <w:t>Dans un dernier moyen, l’appelante fait valoir que les conditions de l’art. 261 CPC ne seraient pas réalisées. En effet, l’intimée n’aurait pas rendu vraisemblable qu’elle serait exposée à un préjudice difficilement réparable. En particulier, ce ne serait pas l’intimée qui aurait la volonté de réintégrer la maison de [...] mais A.________ qui souhaiterait y vivre. Par ailleurs, l’appelante aurait suffisamment démontré l’existence d’un contrat de bail conclu avec la curatrice de sa mère. Le médecin traitant de l’intimée aurait en outre fait état de son impossibilité à réintégrer le logement de [...]. Enfin, ce serait l’appelante qui serait exposée à un préjudice difficilement réparable, puisqu’elle n’aurait pas la possibilité de trouver un autre logement.</w:t>
      </w:r>
    </w:p>
    <w:p>
      <w:r>
        <w:rPr>
          <w:b/>
        </w:rPr>
        <w:t>E. 7.2.1</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 même résulter du seul écoulement du temps pendant le procès. Il y a en particulier dommage lorsqu’il y a atteinte à l’exercice d’un droit absolu, notamment un droit de propriété (Hohl, Procédure civile, tome II, 2 e éd., 2010, n. 1763).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risque de préjudice difficilement réparable suppose l’urgence. De façon générale, il y a urgence chaque fois que le retard apporté à une solution provisoire met en péril les intérêts d’une des parties (Colombini, Code de procédure civile, Condensé de la jurisprudence fédérale et vaudoise, 2018, n. 6.1 ad art. 261 CPC ; Juge délégué CACI 30 mars 2020/123 consid. 6.2.1).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(TF 4P.263/2004 du 1 er février 2005 consid. 2.2, RSPC 2005 p. 414 ; JdT 2014 III 129 ; Colombini, op. cit., n. 6.1 ad art. 261 CPC).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138 III 378 consid. 6.4 ; ATF 131 III 473 consid. 2.3, JdT 2005 I 305). Le requérant doit avant tout rendre vraisemblable que le droit matériel invoqué existe et que le procès a des chances de succès (ATF 131 III 473 consid. 2.3, JdT 2005 I 305), faute de quoi la requête doit être rejetée, sans qu'il soit nécessaire de passer à l'examen des conditions inscrites à l'art. 261 al. 1 let. a et b CPC (Bohnet, CR-CPC, n.</w:t>
      </w:r>
    </w:p>
    <w:p>
      <w:r>
        <w:rPr>
          <w:b/>
        </w:rPr>
        <w:t>E. 7.2.2</w:t>
      </w:r>
    </w:p>
    <w:p>
      <w:r>
        <w:t>L'usufruit est un droit réel limité ; il ne confère qu'une maîtrise partielle sur la chose, à savoir un droit d'usage et de jouissance. De par son étendue, l'usufruit est très proche du droit de propriété. Il s'en distingue par le fait que le droit de disposer de la chose reste au nu-propriétaire (Farine Fabbro, Commentaire romand, Code civil II, 2016, n. 15 ad art. 745 CC). En principe, le bénéficiaire de l'usufruit est titulaire d'un droit de jouissance complet sur un immeuble ; il a le droit d'utiliser l'immeuble, mais il ne peut disposer de l'immeuble ni en fait, ni en droit. Cependant, l'art. 745 al. 2 précise « sauf disposition contraire » ; il s'agit donc d'une règle de droit dispositif. Cela signifie que les parties ont la possibilité de prévoir autre chose (Farine Fabbro, op. cit., n. 23 ad art. 745 CC). Au sens de l'art. 745 al. 2 CC, la « jouissance complète » implique l'usage et la jouissance au sens strict, c'est-à-dire le droit de percevoir les fruits. En matière immobilière, l'usage signifie avoir le droit d'occuper la maison, par exemple pour y habiter. Percevoir les fruits signifie avoir le droit de s'approprier les fruits et d'en disposer. Pour ce qui est de l'usage, les parties peuvent convenir que le droit de l'usufruitier sera limité géographiquement, par exemple seulement à un appartement et à une partie du jardin. Elles peuvent également exclure certaines façons de se servir de l'immeuble, en prévoyant par exemple que l'usufruitier n'a pas le droit de donner l'immeuble en location ou d'en faire un usage professionnel ; la convention entre l'usufruitier et le nu-propriétaire doit être conforme à l'art. 27 CC (Farine Fabbro, op. cit., nn. 24-25 ad art. 745 CC). La répartition des charges est de nature dispositive, ce qui a pour conséquence que l'usufruitier et le nu-propriétaire peuvent prévoir conventionnellement une répartition des charges tenant compte du fait que l'usufruit est limité dans l'espace. Pour le cas où les parties n'auraient rien prévu, les articles 764 et 765 CC s'appliquent. C'est ainsi que l'usufruitier supporterait les charges liées à la partie de l'immeuble dont il a l'usage et le nu-propriétaire celles liées à sa partie (Farine Fabbro, op. cit., n. 28 ad art. 745 CC).</w:t>
      </w:r>
    </w:p>
    <w:p>
      <w:r>
        <w:rPr>
          <w:b/>
        </w:rPr>
        <w:t>E. 7.3</w:t>
      </w:r>
    </w:p>
    <w:p>
      <w:r>
        <w:t>La première juge a retenu que l’intimée était titulaire d’un droit d'usage et de jouissance sur l’immeuble sis sur la parcelle n o 1927 de la Commune de [...]. Dans la mesure où l’appelante refusait de lui donner les clés lui permettant de retourner vivre dans la maison, l’intimée avait rendu vraisemblable qu’elle faisait l’objet d'une atteinte illicite causée par le comportement actuel de l’appelante. Cette situation était susceptible de causer à l’intimée un préjudice difficilement réparable, puisque, sans la remise physique des clés litigieuses, cette dernière se trouvait empêchée d'exercer son droit d'usufruit et ne pouvait matériellement pas retourner chez elle et ce, indépendamment de la question de savoir si un retour à son domicile était médicalement envisageable. Il n’y avait toutefois pas lieu d’autoriser A.________ à entrer et rester dans la maison de [...], puisqu’il n’était titulaire d'aucun droit réel limité, ni d'aucun droit personnel sur cet immeuble, de sorte que son accès à la maison, respectivement sa présence durable dans celle-ci, n'était pas opposable à l’appelante.</w:t>
      </w:r>
    </w:p>
    <w:p>
      <w:r>
        <w:rPr>
          <w:b/>
        </w:rPr>
        <w:t>E. 7.4</w:t>
      </w:r>
    </w:p>
    <w:p>
      <w:r>
        <w:t>Contrairement à ce que soutient l’appelante, l’existence de l’atteinte, respectivement du préjudice difficilement réparable, sont suffisamment rendus vraisemblables. En effet, comme retenu à juste titre par l’autorité de première instance, l’intimée est titulaire d’un droit d’usufruit sur l’immeuble litigieux, ce que l’appelante ne conteste du reste pas. Or l’appelante l’empêche d’y accéder de sorte qu’elle n’est pas en mesure d’exercer son droit de jouissance. L’atteinte au droit de l’intimée est ainsi suffisamment rendue vraisemblable. Il en va de même des chances de succès d’une action au fond. Pour ce qui est du préjudice difficilement réparable, celui-ci peut découler du seul écoulement du temps pendant le procès. Or, au vu de son âge notamment, le fait d’être empêchée d’entrer dans le logement durant toute la durée d’un procès au fond est susceptible de causer à l’intimée un préjudice difficilement réparable. L’intérêt de l’intimée à pouvoir entrer et rester dans son logement l’emporte sur celui de l’appelante à l’empêcher d’y accéder. La question de savoir si l’appelante peut trouver ou non un autre logement n’est à cet égard par pertinente. Il en va de même de la question de savoir si l’intimée est en mesure de rentrer chez elle ou non, question au demeurant déjà traitée ci-avant (cf. supra consid. 4.4). Pour le surplus, s’agissant du contrat de bail, c’est à tort que l’appelante soutient avoir rendu vraisemblable la conclusion d’un tel contrat avec la curatrice de sa mère. Elle a en effet affirmé le contraire en audience (cf. supra consid. 6.4). Il ne ressort au demeurant pas du dossier que A.________ aurait la volonté de s’installer dans l’immeuble de [...] mais bien l’intimée. En effet, l’intimée a manifesté à sa curatrice, dès le début du mandat de celle-ci, ainsi qu’aux intervenants de l’EMS, le souhait de pouvoir rentrer chez elle.</w:t>
      </w:r>
    </w:p>
    <w:p>
      <w:r>
        <w:rPr>
          <w:b/>
        </w:rPr>
        <w:t>E. 8</w:t>
      </w:r>
    </w:p>
    <w:p>
      <w:r>
        <w:t>ad art. 261 CPC). 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(ATF 138 III 378 consid. 6.4 ; ATF 131 III 473 consid. 2.3). Celles-ci ne sont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138 III 378 consid. 6.4 et les réf. citées ; ATF 131 III 473 consid. 3.2 ; TF 5D_219/2017 du 24 août 2018 consid. 4.2.2). Est notamment envisagée comme une mesure d’exécution anticipée l’ordre de cesser un état de fait illicite, tel que quitter les lieux pour un squatter (Bohnet, op. cit., n. 11 ad art. 262 CPC). Cette mesure peut être ordonnée à titre de mesure provisionnelle, si elle respecte le principe de proportionnalité, en étant apte, nécessaire et proportionnée, le principe de subsidiarité (cf. art. 261 al. 2 CPC) et si elle est couverte par la prétention principale au fond (Hohl, op. cit., nn. 1765 ss ; SJ 1985 p. 461 ; Juge déléguée CACI 7 avril 2020/131 consid. 4.2.1.3 ; Juge déléguée CACI 17 janvier 2014/32 consid. 4/bb).</w:t>
      </w:r>
    </w:p>
    <w:p>
      <w:r>
        <w:rPr>
          <w:b/>
        </w:rPr>
        <w:t>E. 8.1</w:t>
      </w:r>
    </w:p>
    <w:p>
      <w:r>
        <w:t>Au vu de ce qui précède, l’appel doit être rejeté et l’ordonnance entreprise confirmée.</w:t>
      </w:r>
    </w:p>
    <w:p>
      <w:r>
        <w:rPr>
          <w:b/>
        </w:rPr>
        <w:t>E. 8.2</w:t>
      </w:r>
    </w:p>
    <w:p>
      <w:r>
        <w:t>Les frais judiciaires de deuxième instance seront arrêtés à 1'928 fr. 60, soit 350 fr. pour l’ordonnance d’effet suspensif (art. 7 al. 1 et 30 TFJC [tarif des frais judiciaires civils du 28 septembre 2010 ; BLV 270.11.5]), 800 fr. pour l’arrêt sur appel (art. 65 al. 1 TFJC), 179 fr. 60 pour les frais d’interprète (art. 91 TFJC) et 599 fr. pour l’audition des trois témoins (art. 87 et 88 TFJC). Ils seront mis à la charge de l’appelante, qui succombe (art. 106 al. 1 CPC).</w:t>
      </w:r>
    </w:p>
    <w:p>
      <w:r>
        <w:rPr>
          <w:b/>
        </w:rPr>
        <w:t>E. 8.3</w:t>
      </w:r>
    </w:p>
    <w:p>
      <w:r>
        <w:t>Au vu de l’issue du litige, l’appelante versera à l’intimée la somme de 2'000 fr. à titre de dépens de deuxième instance (art. 7 TDC [tarif des dépens en matière civile du 23 novembre 2010 ; BLV 270.11.6]). Par ces motifs, le juge délégué de la Cour d’appel civile prononce : I. L’appel est rejeté. II. L’ordonnance est confirmée. III. Les frais judiciaires de deuxième instance, arrêtés à 1'928 fr. 60 (mille neuf cent vingt-huit francs et soixante centimes), sont mis à la charge de l’appelante A.S.________. IV. L’appelante A.S.________ doit verser à l’intimée B.S.________ la somme de 2'000 fr. (deux mille francs) à titre de dépens de deuxième instance. V. L’arrêt est exécutoire. Le juge délégué : La greffière : Du Le présent arrêt, dont la rédaction a été approuvée à huis clos, est notifié en expédition complète à : ‑ Me Micaela Vaerini (pour A.S.________), ‑ Me Cédric Thaler (pour B.S.________), - O.________, curatrice de B.S.________, et communiqué, par l'envoi de photocopies, à : ‑ Mme la Juge déléguée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