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74 vom 10. Januar 2022</w:t>
      </w:r>
    </w:p>
    <w:p>
      <w:r>
        <w:t>VD Tribunal cantonal, 2022-01-10, FR</w:t>
      </w:r>
    </w:p>
    <w:p>
      <w:r>
        <w:rPr>
          <w:b/>
        </w:rPr>
        <w:t xml:space="preserve">Quelle: </w:t>
      </w:r>
      <w:r>
        <w:t>https://mcp.opencaselaw.ch/entscheid/vd_findinfo_HC___2022___74</w:t>
      </w:r>
    </w:p>
    <w:p>
      <w:r>
        <w:t>FR: VD_FINDINFO HC / 2022 / 74 du 10 janvier 2022</w:t>
      </w:r>
    </w:p>
    <w:p>
      <w:r>
        <w:t>IT: VD_FINDINFO HC / 2022 / 74 del 10 gennaio 2022</w:t>
      </w:r>
    </w:p>
    <w:p>
      <w:pPr>
        <w:pStyle w:val="Heading2"/>
      </w:pPr>
      <w:r>
        <w:t>Regeste</w:t>
      </w:r>
    </w:p>
    <w:p>
      <w:r>
        <w:t>DÉCISION D'IRRECEVABILITÉ, MOTIVATION DE LA DEMANDE | 321 al. 1 CPC (CH), 322 al. 1 CPC (CH)</w:t>
      </w:r>
    </w:p>
    <w:p>
      <w:pPr>
        <w:pStyle w:val="Heading2"/>
      </w:pPr>
      <w:r>
        <w:t>Erwägungen</w:t>
      </w:r>
    </w:p>
    <w:p>
      <w:r>
        <w:rPr>
          <w:b/>
        </w:rPr>
        <w:t>E. 1.1</w:t>
      </w:r>
    </w:p>
    <w:p>
      <w:r>
        <w:t>Pour être recevable, le recours doit être motivé (art. 321 al. 1 CPC [Code de procédure civile du 19 décembre 2008 ; RS 272]).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TF 5D_43/2019 du 24 mai 2019 consid. 3.2.2.1). Le recours doit également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 TF 4A_112/2018 du 20 juin 2018 consid. 2.1). Il n'existe pas de présomption selon laquelle le recourant qui ne précise pas ses conclusions serait censé reprendre celles formulées devant l'instance précédente (TF 5D_43/2019, déjà cité, consid. 3.2.2.1 ; TF 4A_402/2011 du 19 décembre 2011 consid. 1.2).</w:t>
      </w:r>
    </w:p>
    <w:p>
      <w:r>
        <w:rPr>
          <w:b/>
        </w:rPr>
        <w:t>E. 1.2</w:t>
      </w:r>
    </w:p>
    <w:p>
      <w:r>
        <w:t>Dans son recours, le recourant ne conteste pas la décision entreprise. Il fait état de contacts qu’il aurait eu avec l’intimée. Ce faisant, le recourant ne remet pas en cause le constat de la commission de conciliation selon lequel l’opposition formée contre la proposition de jugement du 28 octobre 2021 était tardive. De plus, le recours ne contient pas de conclusions. Le recours est donc irrecevable. On relèvera que la proposition de jugement, notifiée au recourant le 29 octobre 2021, précisait qu’une opposition devait être formée dans les vingt jours. Or le recourant a adressé son opposition à la commission de conciliation le 26 novembre 2021, soit après l’échéance du délai de vingt jours. Il s’ensuit qu’à supposer recevable, le recours aurait dû être rejeté et la décision entreprise confirmée.</w:t>
      </w:r>
    </w:p>
    <w:p>
      <w:r>
        <w:rPr>
          <w:b/>
        </w:rPr>
        <w:t>E. 2</w:t>
      </w:r>
    </w:p>
    <w:p>
      <w:r>
        <w:t>Au vu de ce qui précède, le recours doit être déclaré irrecevable selon le mode procédural de l’art. 322 al. 1 CPC. Il sera statué sans frais judiciaires (art. 11 TFJC [tarif des frais judiciaires civils du 28 septembre 2010 ; BLV 270.11.5]), ni dépens, l’intimée n’ayant pas été invitée à se déterminer.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H.________, ‑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