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730 vom 15. September 2022</w:t>
      </w:r>
    </w:p>
    <w:p>
      <w:r>
        <w:t>VD Tribunal cantonal, 2022-09-15, FR</w:t>
      </w:r>
    </w:p>
    <w:p>
      <w:r>
        <w:rPr>
          <w:b/>
        </w:rPr>
        <w:t xml:space="preserve">Quelle: </w:t>
      </w:r>
      <w:r>
        <w:t>https://mcp.opencaselaw.ch/entscheid/vd_findinfo_HC___2022___730</w:t>
      </w:r>
    </w:p>
    <w:p>
      <w:r>
        <w:t>FR: VD_FINDINFO HC / 2022 / 730 du 15 septembre 2022</w:t>
      </w:r>
    </w:p>
    <w:p>
      <w:r>
        <w:t>IT: VD_FINDINFO HC / 2022 / 730 del 15 settembre 2022</w:t>
      </w:r>
    </w:p>
    <w:p>
      <w:pPr>
        <w:pStyle w:val="Heading2"/>
      </w:pPr>
      <w:r>
        <w:t>Regeste</w:t>
      </w:r>
    </w:p>
    <w:p>
      <w:r>
        <w:t>DÉCISION D'IRRECEVABILITÉ, MOTIVATION DE LA DEMANDE, OBLIGATION DE CHIFFRER LES CONCLUSIONS, CONCLUSIONS | 132 CPC (CH), 311 al. 1 CPC (CH), 56 CPC (CH)</w:t>
      </w:r>
    </w:p>
    <w:p>
      <w:pPr>
        <w:pStyle w:val="Heading2"/>
      </w:pPr>
      <w:r>
        <w:t>Volltext</w:t>
      </w:r>
    </w:p>
    <w:p>
      <w:r>
        <w:t>Vaud Tribunal cantonal Cour d'appel civile HC / 2022 / 730</w:t>
      </w:r>
    </w:p>
    <w:p>
      <w:r>
        <w:t>DÉCISION D'IRRECEVABILITÉ, MOTIVATION DE LA DEMANDE, OBLIGATION DE CHIFFRER LES CONCLUSIONS, CONCLUSIONS | 132 CPC (CH), 311 al. 1 CPC (CH), 56 CPC (CH)</w:t>
      </w:r>
    </w:p>
    <w:p>
      <w:r>
        <w:t>TRIBUNAL CANTONAL JS22.018462-221044 465 cour d’appel CIVILE ____________________________ Arrêt du 15 septembre 2022 _______________________ Composition :               Mme Chollet , juge unique Greffière :              Mme Schwab Eggs ***** Art. 56, 132 et 311 al. 1 CPC Statuant sur l’appel interjeté par F.________ , à [...], requérant, contre le prononcé rendu le 10 août 2022 par la Présidente du Tribunal civil de l’Est vaudois dans la cause de mesures protectrices de l’union conjugale divisant l’appelant d’avec T.________ , à [...], intimée, la Juge unique de la Cour d’appel civile du Tribunal cantonal considère : En fait : 1. 1.1 F.________, né le [...] 1980, et T.________, née le 22 juin 1985, se sont mariés le [...] 2007 devant l'Officier d'état civil de [...]. Quatre enfants sont issus de cette union : - [...] ; - [...] ; - [...] ; - [...]. 1.2 Rencontrant d'importantes difficultés conjugales, les parties vivent séparées depuis le 1 er mai 2022. 1.3 Par requête de mesures protectrices de l'union conjugale du 9 mai 2022, F.________ a conclu à être autorisé à vivre séparé d'avec son épouse pour une durée indéterminée (1.), à ce que la garde des enfants soit confiée à celle-ci, un droit de visite usuel étant fixé en sa faveur (2.), à ce que la jouissance du domicile conjugal soit attribué à T.________, à charge pour elle d'en assumer le loyer (3.) et à la fixation, en cas d'excédent, de la contribution d'entretien due par son épouse en sa faveur (4.). 1.4 Par prononcé du 10 août 2022, notifié à F.________ le 12 août 2022, la Présidente du Tribunal civil de l'arrondissement de l'Est vaudois a notamment rappelé la convention partielle signée par les parties à l'audience du 7 juillet 2022 aux termes de laquelle elles sont convenues de vivre séparées, que la jouissance du domicile conjugal est confiée à T.________, que le droit de déterminer le lieu de résidence des enfants [...], [...], [...] et [...] est confié à leur mère qui en exerce la garde de fait et que le père exerce un libre et large droit de visite sur ses enfants réglementé de façon usuelle à défaut d'entente (I), a dit que, dès le 1 er janvier 2023, F.________ contribuerait à l'entretien de [...] par le versement d'une pension mensuelle de 534 fr., son entretien convenable étant arrêté à 635 fr. (Il), d'[...] par le versement d'une pension mensuelle de 534 fr., son entretien convenable étant arrêté à 635 fr. (III), de [...] par le versement d'une pension mensuelle de 534 fr., son entretien convenable étant arrêté à 595 fr. (IV) et de [...] par le versement d'une pension mensuelle de 534 fr., son entretien convenable étant arrêté à 1'090 fr. (V), a dit que les pensions ci-dessus seraient indexées la première fois le 1 er janvier 2024 (VI), a statué sans frais (VII) et a rejeté toutes autres ou plus amples conclusions (VIII). 2. Par acte du 19 août 2022 intitulé « requête en appel des mesures protectrices de l'union conjugale », F.________ (ci-après : l'appelant) a indiqué solliciter « l'appel des mesures protectrices de l'union conjugale » et a notamment pris les conclusions suivantes : « Vu ce qui précède, je vous prie de me convoquer, avec mon épouse, et de : 1. Je puisse voir librement mes enfants et que mes enfants puissent venir chez moi librement 2. Ayant des revenues excédentaires para port au miens qu'elle puisse me verser un montant pour compenser mes besoins. 3. lui attribuer la jouissance du logement familial, charge à elle d'assumer le loyer. ». 3. 3.1 3.1.1 L’appel est recevable contre les ordonnances de mesures protectrices de l’union conjugale, qui doivent être considérées comme des décisions provisionnelles au sens de l’art. 308 al. 1 let. b CPC [Code de procédure civile du 19 décembre 2008 ; RS 272)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3.1.2 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(TF 4A_502/2021 du 17 juin 2022 consid. 4.1 ; ATF 144 III 394 consid. 4.1.4 ; ATF 141 III 569 consid. 2.3.3 ; ATF 138 III 374 consid. 4.3.1 ; TF 5A_356/2020 du 9 juillet 2020 consid. 3.2). Si l'instance d'appel applique le droit d'office (art. 57 CPC), elle le fait uniquement sur les points du jugement qui ont fait l'objet d'une motivation suffisante et, partant, recevable et non sur les points insuffisamment motivés (TF 4A_290/2014 du 1 er septembre 2014 consid. 5). Cela vaut également lorsque la maxime d'office est applicable (TF 5A_512/2020 du 7 décembre 2020 consid. 3.3.1). L'appelant doit tenter de démontrer que sa thèse l'emporte sur celle de la décision attaquée.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En d’autres termes, le fait que le juge d'appel applique le droit d'office ne supprime pas l'exigence de motivation consacrée à l'art. 311 al. 1 CPC (TF 5A_361/2019 du 21 février 2020 consid. 3.3.2). Cela étant, s'agissant d'une partie non assistée, il n'y a pas lieu de poser des exigences trop élevées quant à l'exigence que l'appelant doit démontrer que sa thèse l'emporte sur celle de la décision attaquée (TF 5A_635/2015 du 21 juin 2016 consid. 5.2 ; TF 5A 577/2020 du 16 décembre 2020 consid. 5 ; TF 4A_56/2021 du 30 avril 2021 consid. 5.2 ; TF 4A_117/2022 du 8 avril 2022 consid. 2.1.1 ; TF 5A_568/2022 du 18 mai 2022 consid. 4). Si l'appel ne contient strictement aucune explication destinée à justifier une des prétentions faisant l'objet des conclusions, il est irrecevable sur ce point, sans que l'appelant puisse se prévaloir de l'art. 132 ou de l'art. 56 CPC, peu importe dans ce contexte que le litige relève de la procédure simplifiée régie par la maxime inquisitoire (TF 4A_463/2014 du 23 janvier 2015 consid. 1, non publié à l'ATF 141 III 20). Dans un tel cas, l'art. 132 al. 1 et 2 CPC ne permet pas de compléter ou d'améliorer une motivation insuffisante, même si le mémoire émane d'une personne sans formation juridique ; cette disposition ne saurait en effet être appliquée afin de détourner la portée de l'art. 144 al. 1 CPC qui interdit la prolongation des délais fixés par la loi (TF 5A_23/2019 du 3 juillet 2019 consid. 3.2.2 ; TF 5A_730/2021 du 9 février 2022 consid. 3.3.2). Il en va de même de l'art. 56 CPC, qui concerne les allégations de fait et n'est donc pas applicable en cas d'absence de motivation d'un acte de recours (TF 4A_258/2015 du 21 octobre 2015 consid. 2.4.1 ; TF 5A_483/2018 du 23 octobre 2018 consid. 3.2). 3.1.3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4A_207/2019 du 17 août 2020 consid. 3.2, non publié à l'ATF 146 III 413). Même lorsque la maxime d'office est applicable, l'appel doit contenir des conclusions chiffrées, s'agissant de conclusions pécuniaires – dans le cas d’espèce, les contributions d'entretien pour les enfants –, sous peine d'irrecevabilité. Il ne saurait être remédié à ce vice par la fixation d'un délai de l'art. 132 CPC (ATF 137 III 617 consid. 4 et 5, JdT 2014 II 187 ; TF 5A_274/2015 du 25 août 2015 c. 2.3, non publié à l'ATF 141 III 376) ou de l'art. 56 CPC (TF 5A_3/2019 du 18 février 2019 consid. 4.2, RSPC 2019 p. 310).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11 187 ; TF 5A_165/2016 du 11 octobre 2016 consid. 3.4.2 [contribution d'entretien pour les enfants] ; TF 5A_164/2019 du 20 mai 2020 consid. 4.3, non publié à l'ATF 146 Ill 203 ; TF 4A_117/2022 du 8 avril 2022 consid. 2.1.2). 3.2 En l’espèce, l'appel a été formé en temps utile par une partie qui dispose d'un intérêt digne de protection (art. 59 al. 2 let. a CPC). S’agissant des exigences de motivation, l’appelant se borne à alléguer des faits, sans même les prouver par pièces, et ne se réfère à aucun moment au prononcé querellé. Il se plaint du fait que l’intimée ne respecterait pas les modalités du droit de visite, fait état du fait qu’il serait en incapacité de travail de manière durable et affirme qu’il ne serait pas en mesure de verser les contributions d’entretien fixées. Ces allégations ne permettent pas de retenir en quoi la décision serait entachée d’erreurs au sens de la jurisprudence rappelée ci-dessus. L’appelant n’est certes pas assisté, force est cependant de constater que son appel ne comporte aucune critique en lien avec la décision de première instance. Pour ce motif déjà, l’appel doit être déclaré irrecevable. En outre, les conclusions ne sont pas conformes aux exigences de la jurisprudence ou sans objet. En effet, la conclusion 2 n'est pas chiffrée, alors qu’elle concerne une contribution d’entretien qui serait due en faveur de l’appelant. La conclusion 3 reprend ce qui a été prévu dans la convention, de sorte que l'appel sur ce point est sans objet. Quant à la conclusion 1, en lien avec le droit de visite sur les enfants des parties, elle ne pourrait pas – en cas de réforme – être reprise telle quelle dans le dispositif comme l'exige la jurisprudence. En outre, sur ce point, la motivation de l’appelant est clairement insuffisante. En effet, le droit de visite auquel conclut l'appelant correspond au libre et large droit de visite qui lui a été accordé moyennant certes entente avec la mère sur la base de la convention signée par les parties en première instance. Or, l’appelant ne soutient pas que sa volonté aurait alors été viciée ou que des faits nouveaux seraient intervenus. Pour ces raisons également, l’appel doit être déclaré irrecevable. 4. En définitive, l’appel, manifestement mal fondé (art. 312 al. 1 in fine CPC), doit être déclaré irrecevable. Le présent arrêt peut être rendu sans frais judiciaires de deuxième instance (art. 10 TFJC [tarif des frais judiciaires civils du 28 septembre 2010 ; BLV 270.11.5]). L'intimée, qui n’a pas été invitée à se déterminer, n’a pas droit à des dépens de deuxième instance. Par ces motifs, la Juge unique de la Cour d’appel civile prononce : I. L’appel est irrecevable. II. L’arrêt, rendu sans frais judiciaires de deuxième instance, est exécutoire. La Juge unique :               La greffière : Du Le présent arrêt, dont la rédaction a été approuvée à huis clos, est notifié en expédition complète à : ‑ M. F.________, personnellement, ‑ Mme T.________, personnellement,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