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637 vom 19. August 2022</w:t>
      </w:r>
    </w:p>
    <w:p>
      <w:r>
        <w:t>VD Tribunal cantonal, 2022-08-19, FR</w:t>
      </w:r>
    </w:p>
    <w:p>
      <w:r>
        <w:rPr>
          <w:b/>
        </w:rPr>
        <w:t xml:space="preserve">Quelle: </w:t>
      </w:r>
      <w:r>
        <w:t>https://mcp.opencaselaw.ch/entscheid/vd_findinfo_HC___2022___637</w:t>
      </w:r>
    </w:p>
    <w:p>
      <w:r>
        <w:t>FR: VD_FINDINFO HC / 2022 / 637 du 19 août 2022</w:t>
      </w:r>
    </w:p>
    <w:p>
      <w:r>
        <w:t>IT: VD_FINDINFO HC / 2022 / 637 del 19 agosto 2022</w:t>
      </w:r>
    </w:p>
    <w:p>
      <w:pPr>
        <w:pStyle w:val="Heading2"/>
      </w:pPr>
      <w:r>
        <w:t>Regeste</w:t>
      </w:r>
    </w:p>
    <w:p>
      <w:r>
        <w:t>EXPULSION DE LOCATAIRE, CAS CLAIR, REJET DE LA DEMANDE | 257d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du congé est également contestée, la valeur litigieuse est égale au loyer de la période minimale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lorsqu’il s’agit d’un bail d’habitation (ATF 144 III 346 consid. 1.2.1 et 1.2.2, JT 2019 II 235). Lorsque la décision entreprise a été rendue en procédure sommaire, comme c'est le cas dans la procédure en cas clairs (art. 248 let. b CPC), le délai d'appel est de dix jours (art. 314 al. 1 CPC).</w:t>
      </w:r>
    </w:p>
    <w:p>
      <w:r>
        <w:rPr>
          <w:b/>
        </w:rPr>
        <w:t>E. 1.2</w:t>
      </w:r>
    </w:p>
    <w:p>
      <w:r>
        <w:t>En l’espèce, compte tenu d’un loyer mensuel de 1'088 fr., la valeur litigieuse, calculée selon les principes énoncés ci-dessus, est supérieure à 10'000 fr., si bien que la voie de l’appel est ouverte (art. 308 al. 2 CPC). Pour le surplus, formé en temps utile par des parties qui y ont un intérêt (art. 59 al. 2 let. a CPC) contre une décision finale de première instance, l’appel est recevable.</w:t>
      </w:r>
    </w:p>
    <w:p>
      <w:r>
        <w:rPr>
          <w:b/>
        </w:rPr>
        <w:t>E. 2</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SJ 2013 I 129 ; CACI 31 août 2021/422 consid. 2).</w:t>
      </w:r>
    </w:p>
    <w:p>
      <w:r>
        <w:rPr>
          <w:b/>
        </w:rPr>
        <w:t>E. 3.1</w:t>
      </w:r>
    </w:p>
    <w:p>
      <w:r>
        <w:t>et 3.3.1 ; ATF 142 III 515 consid. 2.2.4 in fine ; ATF 141 III 262 consid. 3.2 in fine ).</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Un cas clair ne doit pas être nié du seul fait qu’un contrat doit être interprété selon le principe de la confiance. Lorsque le contenu du contrat peut être déterminé, selon le principe de la confiance, de manière claire et univoque, il est admissible de retenir l’existence d’un cas clair (TF 4A_185/2017 du 15 juin 2017 consid. 5.4 et les réf. citées). Si le juge parvient à la conclusion que les conditions de l'art. 257 al. 1 CPC sont remplies, le demandeur obtient gain de cause par une décision ayant l'autorité de la chose jugée et la force exécutoire (ATF 138 III 620 consid. 5.1.1 p. 623 en haut). Si elles ne sont pas remplies et que le demandeur ne peut donc obtenir gain de cause, le juge ne peut que prononcer l'irrecevabilité de la demande. Il est en effet exclu que la procédure puisse aboutir au rejet de la prétention du demandeur avec autorité de la chose jugée (sur le tout : ATF 144 III 462 consid. 3.1 et les réf. citées).</w:t>
      </w:r>
    </w:p>
    <w:p>
      <w:r>
        <w:rPr>
          <w:b/>
        </w:rPr>
        <w:t>E. 3.2.2</w:t>
      </w:r>
    </w:p>
    <w:p>
      <w:r>
        <w:t>Une requête en expulsion d'un locataire selon la procédure de protection dans les cas clairs (art. 257 CPC) est admissible même lorsque le locataire a attaqué en justice le congé donné par le bailleur et que cette procédure est pendante (cf. ATF 141 III 262 consid. 3).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w:t>
      </w:r>
    </w:p>
    <w:p>
      <w:r>
        <w:rPr>
          <w:b/>
        </w:rPr>
        <w:t>E. 3.2.3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(Lachat/Stastny, Le bail à loyer, Lausanne 2019, n. 2.3.5 p. 879). Il incombe à la partie qui prétend que son obligation a été exécutée de prouver cette exécution, notamment par paiement (ATF 130 III 321 consid. 3.1 ; ATF 128 III 271 consid. 2a/aa, JdT 2003 I 606 ; TF 4A_41/2011 du 27 avril 2011 consid. 2.1.1 ; CACI</w:t>
      </w:r>
    </w:p>
    <w:p>
      <w:r>
        <w:rPr>
          <w:b/>
        </w:rPr>
        <w:t>E. 3.2.4</w:t>
      </w:r>
    </w:p>
    <w:p>
      <w:r>
        <w:t>Dans le cas où le bailleur, dans sa sommation, ordonne au locataire de verser l'arriéré de loyer sur un compte de chèque postal avec un bulletin de versement annexé, il suffit que le paiement soit effectué au bureau de poste sur le compte indiqué avant l'échéance pour que le délai de paiement soit tenu pour respecté (ATF 124 III 145 consid. 2, JT 2000 I 220 ; voir également TF 4P.217/2002 du 19 décembre 2002 consid. 2.4).</w:t>
      </w:r>
    </w:p>
    <w:p>
      <w:r>
        <w:rPr>
          <w:b/>
        </w:rPr>
        <w:t>E. 3.2.5</w:t>
      </w:r>
    </w:p>
    <w:p>
      <w:r>
        <w:t>La jurisprudence admet toutefois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 TF 4A_550/2020 du 29 avril 2021 consid. 8.2 et les réf. citées). L'annulation du congé doit rester une ultima ratio dans le cas du locataire qui ne paie pas son loyer (TF 4A_252/2014 du 28 mai 2014 consid. 4.2 ; Lachat, op. cit. , p. 881, note de bas de page n. 109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consid. 1 et les réf. citées ; TF 4A_550/2020 du 29 avril 2021 consid. 8.2 ; TF 4A_436/2018 du 17 janvier 2019 consid. 5.1 ; TF 4A_571/2018 du 14 janvier 2019 consid. 9). S'agissant du caractère insignifiant mentionné ci-dessus, le Tribunal fédéral l'a nié en présence d'un arriéré de loyer de 286 fr. ou d'un solde de frais accessoires de 164 fr. 65 (Lachat, op. cit. , p. 881, note de bas de page n. 112 et les réf. citées).</w:t>
      </w:r>
    </w:p>
    <w:p>
      <w:r>
        <w:rPr>
          <w:b/>
        </w:rPr>
        <w:t>E. 3.3.1</w:t>
      </w:r>
    </w:p>
    <w:p>
      <w:r>
        <w:t>Les appelants font valoir qu’en effectuant le versement des loyers dus le 11 février 2022 auprès de la poste dans le délai comminatoire, au moyen d’un bulletin de versement complété à la main, ils se seraient valablement acquittés du loyer. Dans le cadre d’une procédure sommaire, il ne pourrait leur être reproché d’avoir utilisé un bulletin de versement rempli manuellement plutôt que d’avoir fait usage du bulletin annexé à l’avis comminatoire. Le fait d’avoir utilisé un tel bulletin plutôt que le bulletin annexé exclurait du reste de considérer la situation juridique comme claire. L’intimée serait en outre seule responsable du fait que la banque, agissant comme son auxiliaire ou son représentant, ait rejeté le paiement du 11 février 2022 et devrait dès lors en assumer les conséquences. Même à considérer que la procédure de cas clairs serait applicable, le paiement du 11 février 2022 présenterait toutes les apparences d’un paiement intervenu en temps utile, conduisant au rejet de la requête du 24 avril 2022 de l’intimée. Les appelants critiquent encore l’ordonnance entreprise concernant la seconde tentative de paiement du 3 mars 2022. Ils allèguent que ce paiement ne serait pas intervenu plus de dix jours après l’annonce par la poste de l’échec du premier versement, mais seulement une semaine après la réception du courrier du 18 février 2022. Ils seraient en outre protégés dans leur bonne foi, dès lors que l’impossibilité de créditer le versement relèverait de la banque de l’intimée, leur versement ayant été exécuté par la poste. Ces circonstances rendraient également la cause complexe en fait et en droit, empêchant l’application de l’art. 257 CPC. Le congé serait au demeurant nul, subsidiairement annulable.</w:t>
      </w:r>
    </w:p>
    <w:p>
      <w:r>
        <w:rPr>
          <w:b/>
        </w:rPr>
        <w:t>E. 3.3.2</w:t>
      </w:r>
    </w:p>
    <w:p>
      <w:r>
        <w:t>En l’occurrence, les appelants se prévalent à tort de l’ATF 124 III 145 et du fait qu’ils auraient payé en temps utile en effectuant le versement le 11 février 2022 au moyen d’un bulletin de versement rempli à la main. Ce qu’ils ne disent pas, et qui est pourtant l’élément essentiel en l’espèce, c’est qu’ils ont payé le montant de 2'176 fr. au mauvais destinataire, faute qui leur est entièrement imputable. En effet, le bulletin joint à l’avis comminatoire prévoyait un versement en faveur de la société P.________, représentante de l’intimée, alors que les appelants ont indiqué B.________ comme destinataire du versement dans le bulletin rempli manuellement. Leur versement ne pouvait donc pas intervenir auprès du bon destinataire, empêchant de ce fait même l’extinction de leur obligation. C’est également ce qui est arrivé en octobre 2021, le versement des appelants ayant été rejeté selon le décompte produit par l’intimée, le bulletin de versement rempli à la main mentionnant de manière erronée comme destinataire B.________. Au contraire, lors du versement du 3 mars 2022 au moyen du bulletin de versement annexé à l’avis comminatoire, le paiement a pu intervenir car il a été adressé au bon destinataire. A suivre les appelants, il suffirait aux locataires de remplir un bulletin de versement de manière lacunaire ou erronée, volontairement ou non, pour considérer qu’ils ont satisfait à leurs obligations, ce qui n’est pas soutenable. L’ATF 124 III 145 précise expressément que le paiement au moyen d’un bulletin de versement doit intervenir sur le compte indiqué (consid. 3.2.4 supra ). Par ailleurs, la mention du mauvais destinataire ressort clairement des pièces au dossier, de sorte qu’il n’y a aucune complexité qui découlerait des faits. Au contraire, le cas est clair, le paiement n’ayant pas été effectué au bon destinataire dans le délai comminatoire. Au vu de ce qui précède, il n’y a pas lieu d’examiner les autres griefs des appelants, relatifs notamment au délai écoulé entre la prise de connaissance du courrier de la poste du 18 février 2022 et le paiement du 3 mars 2022, ceux-ci n’étant pas pertinents, faute d’avoir prouvé le paiement du montant de 2'176 fr. à la société P.________ dans le délai imparti. La situation est ainsi claire sur le plan juridique également. Les appelants n’invoquent pas non plus de circonstances exceptionnelles (consid. 3.2.5 supra ), de sorte que l’expulsion doit être confirmée.</w:t>
      </w:r>
    </w:p>
    <w:p>
      <w:r>
        <w:rPr>
          <w:b/>
        </w:rPr>
        <w:t>E. 4</w:t>
      </w:r>
    </w:p>
    <w:p>
      <w:r>
        <w:t>août 2022/396).</w:t>
      </w:r>
    </w:p>
    <w:p>
      <w:r>
        <w:rPr>
          <w:b/>
        </w:rPr>
        <w:t>E. 4.1</w:t>
      </w:r>
    </w:p>
    <w:p>
      <w:r>
        <w:t>Partant, l’appel, manifestement mal fondé, doit être rejeté (art. 312 al. 1 in fine CPC) et l’ordonnance entreprise confirmée. Le terme de l’expulsion étant désormais échu, la cause sera renvoyée au premier juge pour qu’il fixe aux appelants un nouveau délai pour libérer les locaux litigieux.</w:t>
      </w:r>
    </w:p>
    <w:p>
      <w:r>
        <w:rPr>
          <w:b/>
        </w:rPr>
        <w:t>E. 4.2</w:t>
      </w:r>
    </w:p>
    <w:p>
      <w:r>
        <w:t>Vu l’issue de l’appel, les frais judiciaires de deuxième instance, arrêtés à 200 fr. (art. 62 al. 1 et 3 TFJC [tarif des frais judiciaires civils du 28 septembre 2010 ; BLV 270.11.5]), seront mis à la charge des appelants, solidairement entre eux (art. 106 al. 1 et 3 CPC). Il n’y a pas lieu à l’allocation de dépens de deuxième instance, dès lors que l’intimée n’a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