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634 vom 4. August 2022</w:t>
      </w:r>
    </w:p>
    <w:p>
      <w:r>
        <w:t>VD Tribunal cantonal, 2022-08-04, FR</w:t>
      </w:r>
    </w:p>
    <w:p>
      <w:r>
        <w:rPr>
          <w:b/>
        </w:rPr>
        <w:t xml:space="preserve">Quelle: </w:t>
      </w:r>
      <w:r>
        <w:t>https://mcp.opencaselaw.ch/entscheid/vd_findinfo_HC___2022___634</w:t>
      </w:r>
    </w:p>
    <w:p>
      <w:r>
        <w:t>FR: VD_FINDINFO HC / 2022 / 634 du 4 août 2022</w:t>
      </w:r>
    </w:p>
    <w:p>
      <w:r>
        <w:t>IT: VD_FINDINFO HC / 2022 / 634 del 4 agosto 2022</w:t>
      </w:r>
    </w:p>
    <w:p>
      <w:pPr>
        <w:pStyle w:val="Heading2"/>
      </w:pPr>
      <w:r>
        <w:t>Regeste</w:t>
      </w:r>
    </w:p>
    <w:p>
      <w:r>
        <w:t>EXPULSION DE LOCATAIRE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Lorsque la décision entreprise a été rendue en procédure sommaire, comme c’est le cas dans la procédure en protection des cas clairs (art. 248 let. b CPC), le délai pour l’introduction de l’appel est de dix jours (art. 314 al. 1 CPC).</w:t>
      </w:r>
    </w:p>
    <w:p>
      <w:r>
        <w:rPr>
          <w:b/>
        </w:rPr>
        <w:t>E. 1.2</w:t>
      </w:r>
    </w:p>
    <w:p>
      <w:r>
        <w:t>En l’espèce, les appelants font valoir que l’état de fait est litigieux, de sorte que la procédure en cas clair n’aurait pas dû être appliquée. La résiliation de leur bail n’a en revanche pas été contestée. La valeur litigieuse, égale à la somme des loyers dus pour six mois ([2'170 fr. + 30 fr. + 130 fr.] x 6 mois), est donc supérieure à 10'000 francs. Il s’ensuit que la voie de l’appel est ouverte contre l’ordonnance attaquée. Pour le surplus, interjeté dans le délai légal de dix jours par des parties qui ont un intérêt digne de protection à l’appel, et satisfaisant aux prescriptions de forme de l’art. 311 CPC, l’appel est recevable.</w:t>
      </w:r>
    </w:p>
    <w:p>
      <w:r>
        <w:rPr>
          <w:b/>
        </w:rPr>
        <w:t>E. 2</w:t>
      </w:r>
    </w:p>
    <w:p>
      <w:r>
        <w:t>L'appel peut être formé pour violation du droit ainsi que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7</w:t>
      </w:r>
    </w:p>
    <w:p>
      <w:r>
        <w:t>novembre 2012 consid. 5 ; CACI 26 mars 2021/145 ; CACI 25 novembre 2020/540 ; Jeandin, Commentaire romand, Code de procédure civile, 2 e éd., Bâle 2019 [CR-CPC], n. 9b ad art. 317 CPC). 3. 3.1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 et les arrêts cités ; TF 4A_142/2020 du 3 septembre 2020 consid. 3.1). A l'inverse, le cas clair doit être retenu lorsque sont émises des objections manifestement mal fondées ou inconsistantes sur lesquelles il peut être statué immédiatement (ATF 138 III 620 consid. 5.1.1 ; TF 4A_550/2020 précité consid. 5.1 ; TF 4A_422/2020 du 2 novembre 2020 consid. 4.1). Le fait pour le défendeur d’avancer des arguments sans proposer le moindre indice à leur appui et sans mentionner les preuves des moyens qu’il invoque ne remet pas en cause le cas clair (TF 4A_418/2014 du 18 août 2014 consid. 3 ; CACI 3 août 2016/432 ; CACI 4 mars 2014/98, CdB 201 p. 119 ; Bohnet, Le défendeur et le cas clair, in Newsletter bail.ch, décembre 2012 ; Bohnet, note in RSPC 2013 p. 140). Il ne suffit donc pas que le défendeur se limite à signaler les objections ou exceptions qui pourraient contredire la liquidité de la situation en fait et en droit, de telles exceptions devant être motivées et concluants (TF 5A_19/2015 du 27 juillet 2016 consid. 2.3.1). La situation juridique est claire lorsque l’application de la norme au cas concret s’impose de façon évidente au regard du texte légal ou sur la base d’une doctrine et d’une jurisprudence éprouvées (ATF 144 III 462 consid. 3.1 ; ATF 138 III 123 consid. 2.1.2 ; ATF 138 III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TF 4A_376/2021 du 7 janvier 2022 consid. 4.1.2 et les réf. citées). 3.2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(Lachat/Stastny, Le bail à loyer, Lausanne 2019, n. 2.3.5 p. 879). Il incombe à la partie qui prétend que son obligation a été exécutée de prouver cette exécution, notamment par paiement (ATF 128 III 271, JdT 2003 I 606 ; CACI 31 octobre 2019/582). 3.3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 TF 4A_422/2020 du 2 novembre 2020 consid. 4.2 ; TF 4A_140/2014 du 6 août 2014 consid. 5.2).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26 février 2021/84 consid. 4.2.2 ; CACI 4 juillet 2017/289 consid. 3.2).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Si une procédure relative à la contre-créance est pendante devant une autre instance, il ne saurait être question de suspendre la procédure en contestation du congé jusqu’à droit connu dans l’autre procédure, sauf si une décision définitive est imminente (CACI 22 janvier 2019/29 ; CACI 7 décembre 2018/692 consid. 3.4.1 ; CREC 26 juillet 2016/292 consid. 3.2.2). 4. 4.1 Les appelants considèrent que les conditions de la procédure en cas clair n’étaient pas réalisées de sorte que la juge de paix ne pouvait pas entrer en matière sur la requête des intimés. Ils reviennent sur ce qu’ils estiment être « la genèse du litige » et invoquent ensuite différents événements survenus en août 2021, soit une coupure d’électricité qui serait imputable aux intimés, entraînant une perte de nourriture et de médicaments stockés au frais, puis un accord intervenu entre les parties à ce sujet, soit une compensation entre le dommage subi et le loyer d’août 2021. Ces faits, qui ne reposent d’ailleurs sur aucune pièce au dossier, sont nouveaux. Ils ne peuvent être admis (cf. supra consid. 2), de sorte que le grief est irrecevable. 4.2 Les appelants exposent ensuite avoir été « surpris » par l’avis comminatoire du 28 décembre 2021, intervenu quatre mois plus tard. Ils prétendent en outre que la date de l’envoi serait « particulièrement bien choisie » dès lors qu’ils passaient les fêtes à l’étranger, ce que les intimés savaient. Ils soupçonnent les intimés d’avoir intercepté l’avis de retrait des courriers recommandés dans leur boîte à lettres. La surprise des appelants est sans pertinence. Quant à leur soupçon sur une prétendue interception des avis déposés dans leur boîte à lettres, il s’agit d’une pure supposition de leur part, dénuée de toute force probante. Au demeurant, on rappellera que le délai comminatoire de l’art. 257d al. 1 CO est soumis à la théorie de la réception relative, ce qui signifie que si le courrier recommandé ne peut pas être remis directement au destinataire et qu’un avis de retrait mentionnant le délai de garde postal a été mis dans sa boîte aux lettres ou sa case postale, l’acte est reçu au moment où le destinataire le retire effectivement au guichet de la poste ou, à supposer qu’il ne soit pas retiré dans ce délai, le septième et dernier jour de ce délai (ATF 140 III 244 consid. 5.1). 4.3 Les appelants se prévalent encore une fois de l’accord de compensation qui serait intervenu entre les parties s’agissant du loyer du mois d’août 2021, invoquant que ce loyer n’était dès lors pas dû et qu’ils n’avaient même pas à invoquer la compensation dans le délai comminatoire. Une nouvelle fois, on doit relever qu’aucun élément au dossier ne vient attester d’un tel accord. Au surplus, les appelants n’invoquent et ne démontrent pas avoir invoqué la compensation de manière régulière. 4.4 Le seul point qui mérite examen et qui n’a pas été invoqué par les appelants, pourtant assistés d’un mandataire professionnel, réside dans les paiements qui sont intervenus pendant le délai comminatoire. Les plis contenant les mises en demeure de l’art. 257d CO ont été adressés aux appelants le 28 décembre 2021 et l’avis de retrait a été déposé le lendemain. L’expiration du délai de garde venait dès lors à échéance le 5 janvier 2022, étant précisé que les féries ne s’appliquent pas aux délais prévus par le droit matériel (Tappy, CR-CPC, n. 7 ad art. 145 CPC), comme les délais fixés par l’art. 257d CO (CACI 28 février 2022/107). En l’espèce, le délai de l’art. 257d CO a donc commencé à courir dès le 6 janvier 2022 pour venir à échéance le 4 février 2022. Or les locataires se sont acquittés de 2'170 fr. le 28 janvier 2022, puis de 30 fr. et 130 fr. le 3 février 2022. Ainsi, contrairement à ce que prétendent les intimés dans leur demande d’expulsion (cf. allégué n° 14 de la requête du 11 avril 2022), un paiement a bel et bien eu lieu dans le délai comminatoire et non pas après l’expiration de celui-ci. Cela étant, les locataires ne se sont pas acquittés de l’entier des arriérés dus et demeuraient impayés le solde du loyer de l’appartement d’octobre par 170 fr., le loyer d’octobre de la place de parc intérieure, le solde de 10 fr. du loyer de la place de parc intérieure de juillet, ainsi que loyer de cette place pour le mois d’octobre. Partant, les intimés étaient fondés à résilier le bail à l’issue du délai comminatoire, ce qu’ils ont fait sur formule officielle. Il découle de ce qui précède que les appelants n’ont fait valoir aucune objection sérieuse qui soit susceptible de remettre en cause le cas clair et que c’est à bon droit que la juge de paix a constaté que le contrat de bail avait été valablement résilié et qu’elle a admis la requête d’expulsion de l’intimée. 5. Au vu de ce qui précède, l’appel, manifestement infondé, doit être rejeté en application de l’art. 312 al. 1 in fine CPC et l’ordonnance confirmée. L’arrêt peut être rendu sans frais judiciaires de deuxième instance (art. 11 TFJC [tarif des frais judiciaires civils du 28 septembre 2010 ; BLV 270.11.5]). 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