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625 vom 12. August 2022</w:t>
      </w:r>
    </w:p>
    <w:p>
      <w:r>
        <w:t>VD Tribunal cantonal, 2022-08-12, FR</w:t>
      </w:r>
    </w:p>
    <w:p>
      <w:r>
        <w:rPr>
          <w:b/>
        </w:rPr>
        <w:t xml:space="preserve">Quelle: </w:t>
      </w:r>
      <w:r>
        <w:t>https://mcp.opencaselaw.ch/entscheid/vd_findinfo_HC___2022___625</w:t>
      </w:r>
    </w:p>
    <w:p>
      <w:r>
        <w:t>FR: VD_FINDINFO HC / 2022 / 625 du 12 août 2022</w:t>
      </w:r>
    </w:p>
    <w:p>
      <w:r>
        <w:t>IT: VD_FINDINFO HC / 2022 / 625 del 12 agosto 2022</w:t>
      </w:r>
    </w:p>
    <w:p>
      <w:pPr>
        <w:pStyle w:val="Heading2"/>
      </w:pPr>
      <w:r>
        <w:t>Regeste</w:t>
      </w:r>
    </w:p>
    <w:p>
      <w:r>
        <w:t>DÉCISION DE RENVOI, FRAIS DE LA PROCÉDURE, LIMITATION AUX CONCLUSIONS DES PARTIES | 67 LTF, 68 al. 5 LTF, 106 al. 1 CPC (CH), 106 CPC</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5A_582/2020 du 7 octobre 2021 consid. 2.1 ; ATF 133 III 201 consid. 4.2). L’art 67 LTF permet au Tribunal fédéral de répartir autrement les frais de la procédure antérieure s’il modifie la décision attaquée. Selon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1.2</w:t>
      </w:r>
    </w:p>
    <w:p>
      <w:r>
        <w:t>En l’espèce, le Tribunal fédéral a renvoyé la cause au premier juge pour qu’il entre en matière sur la demande d’indemnisation de l’appelant, renvoyant la cause à la Cour de céans uniquement pour qu’elle statue sur les frais et dépens de la procédure cantonale. Cela étant, l’arrêt du Tribunal fédéral a renvoyé la cause au premier juge sans toutefois avoir annulé son jugement. Il convient dès lors de prononcer l’annulation du jugement du 27 janvier 2021. Il appartiendra au premier juge de statuer à nouveau sur les frais et dépens de première instance.</w:t>
      </w:r>
    </w:p>
    <w:p>
      <w:r>
        <w:rPr>
          <w:b/>
        </w:rPr>
        <w:t>E. 2.1</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Les frais judiciaires sont fixés et répartis d’office (art. 105 al. 1 er CPC). En revanche, la maxime de disposition est applicable en matière de dépens (TF 4A_465/2016 du 15 novembre 2016 consid. 4.2) et l’allocation de dépens sans conclusion dans ce sens violerait l’art. 105 CPC (ATF 139 III 334 consid. 4.3).</w:t>
      </w:r>
    </w:p>
    <w:p>
      <w:r>
        <w:rPr>
          <w:b/>
        </w:rPr>
        <w:t>E. 2.2</w:t>
      </w:r>
    </w:p>
    <w:p>
      <w:r>
        <w:t>En l’espèce, le Tribunal fédéral a donné entièrement gain de cause à l’appelant, de sorte que les frais judiciaires de deuxième instance, arrêtés à 723 fr., doivent être mis à la charge de l’intimé. En revanche, il ne peut être alloué de dépens pour la deuxième instance, l’appelant n’ayant pris aucune conclusion à cet égard dans son appel (ATF 139 III 334 consid. 4.3 ; TF 4A_465/2016 du 15 novembre 2016 consid. 4.2).</w:t>
      </w:r>
    </w:p>
    <w:p>
      <w:r>
        <w:rPr>
          <w:b/>
        </w:rPr>
        <w:t>E. 3.1</w:t>
      </w:r>
    </w:p>
    <w:p>
      <w:r>
        <w:t>L’appelant a requis à titre subsidiaire le bénéfice de l’assistance judicaire pour la procédure d’appel. Les conditions cumulatives d’octroi de l’assistance judiciaire prévues à l’art. 117 CPC étant réalisées, il se justifie d’accorder l’assistance judiciaire à l’appelant dans le cadre de la procédure d’appel.</w:t>
      </w:r>
    </w:p>
    <w:p>
      <w:r>
        <w:rPr>
          <w:b/>
        </w:rPr>
        <w:t>E. 3.2</w:t>
      </w:r>
    </w:p>
    <w:p>
      <w:r>
        <w:t>En vertu de l’art. 122 al. 1 let. a CPC, le conseil d’office d’une partie a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des frais judiciaires et de l’indemnité à son conseil d’office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w:t>
      </w:r>
    </w:p>
    <w:p>
      <w:r>
        <w:rPr>
          <w:b/>
        </w:rPr>
        <w:t>E. 3.3</w:t>
      </w:r>
    </w:p>
    <w:p>
      <w:r>
        <w:t>En sa qualité de conseil d’office de l’appelante, Me Alexandre Reymond a droit à une rémunération équitable pour ses opérations et débours dans le cadre de la procédure d’appel. Il a indiqué dans sa liste d’opérations avoir consacré 7 heures au dossier, ce qui est raisonnable au regard des écritures. Ce décompte sera ainsi admis. Il s’ensuit qu’au tarif horaire de 180 fr., l’indemnité de Me Reymond doit être fixée à 1’260 fr. (180 fr. x 7), montant auquel s’ajoutent les débours par 25 fr. 20 (2% de 1’260 fr.) et la TVA sur le tout par 98 fr. 95, soit 1’384 fr. 15 au total, arrondis à 1’385 francs.</w:t>
      </w:r>
    </w:p>
    <w:p>
      <w:r>
        <w:rPr>
          <w:b/>
        </w:rPr>
        <w:t>E. 4</w:t>
      </w:r>
    </w:p>
    <w:p>
      <w:r>
        <w:t>Il n’est pas perçu de nouvel émolument forfaitaire de décision pour le jugement d’une cause renvoyée ensuite d’un arrêt du Tribunal fédéral (art. 5 al. 1 TFJC [tarif du 28 septembre 2010 des frais judiciaires civils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