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612 vom 26. Juli 2022</w:t>
      </w:r>
    </w:p>
    <w:p>
      <w:r>
        <w:t>VD Tribunal cantonal, 2022-07-26, FR</w:t>
      </w:r>
    </w:p>
    <w:p>
      <w:r>
        <w:rPr>
          <w:b/>
        </w:rPr>
        <w:t xml:space="preserve">Quelle: </w:t>
      </w:r>
      <w:r>
        <w:t>https://mcp.opencaselaw.ch/entscheid/vd_findinfo_HC___2022___612</w:t>
      </w:r>
    </w:p>
    <w:p>
      <w:r>
        <w:t>FR: VD_FINDINFO HC / 2022 / 612 du 26 juillet 2022</w:t>
      </w:r>
    </w:p>
    <w:p>
      <w:r>
        <w:t>IT: VD_FINDINFO HC / 2022 / 612 del 26 luglio 2022</w:t>
      </w:r>
    </w:p>
    <w:p>
      <w:pPr>
        <w:pStyle w:val="Heading2"/>
      </w:pPr>
      <w:r>
        <w:t>Regeste</w:t>
      </w:r>
    </w:p>
    <w:p>
      <w:r>
        <w:t>PROTECTION DE L'UNION CONJUGALE, GARDE ALTERNÉE | 298 al. 2ter CC, 298 al. 1 CPC (CH), 308 al. 1 let. b CPC (CH), 316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 2 let. a CPC) et portant sur des conclusions non patrimoniales et sur des contributions d’entretien qui, capitalisées (art. 92 CPC), sont supérieures à 10'000 francs,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 En application de l’art. 318 al. 1 CPC, l’instance d’appel pourra confirmer la décision attaquée (let. a), statuer à nouveau (let. b) ou renvoyer la cause à la première instance si un élément essentiel de la demande n’a pas été jugé (let. c ch. 1) ou si l’état de fait doit être complété sur des points essentiels (let. c ch. 2).</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 citées), la maxime d'office (art. 296 al. 3 CPC) étant également applicable à ces questions.</w:t>
      </w:r>
    </w:p>
    <w:p>
      <w:r>
        <w:rPr>
          <w:b/>
        </w:rPr>
        <w:t>E. 3.1.1</w:t>
      </w:r>
    </w:p>
    <w:p>
      <w:r>
        <w:t>L’appelante a requis la tenue d’une audience d’appel.</w:t>
      </w:r>
    </w:p>
    <w:p>
      <w:r>
        <w:rPr>
          <w:b/>
        </w:rPr>
        <w:t>E. 3.1.2</w:t>
      </w:r>
    </w:p>
    <w:p>
      <w:r>
        <w:t>Selon l'art. 316 al. 1 CPC, l’instance d’appel peut ordonner des débats ou statuer sur pièces. Il s’agit d’une possibilité qui est offerte à l’autorité d’appel, non une obligation. En règle générale, l’appel est mené sur la base des pièces du dossier, sans audience, ni administration de preuves (ATF 142 III 413 consid. 2.2.1, JdT 2017 II 153 ; TF 4A_616/2016 du 10 mai 2017 consid. 4.1). L'instance d'appel peut statuer sans procéder à davantage d'investigations et sans fixer d'audience de débats lorsque l'affaire est en état d'être jugée (TF 5A_198/2014 du 19 novembre 2014 consid. 4). Elle dispose d’une large liberté de manœuvre pour fixer ou non une audience d’appel (ATF 144 III 394 consid. 4.1.3 ; TF 5A_ 37/2017 du 10 juillet 2017 consid. 3.1.2). Il n’y a dès lors pas de droit à une audience en appel, y compris dans le cadre d’un appel contre un jugement de divorce (TF 5A_89/2014 du 15 avril 20214 consid. 6) ou dans le cadre de procédures judiciaires concernant le sort des enfants (TF 5A_326/2012 du 26 juillet 2012 consid. 2).</w:t>
      </w:r>
    </w:p>
    <w:p>
      <w:r>
        <w:rPr>
          <w:b/>
        </w:rPr>
        <w:t>E. 3.1.3</w:t>
      </w:r>
    </w:p>
    <w:p>
      <w:r>
        <w:t>En l’espèce, il convient d’abord de constater que l’appelante n’a pas motivé sa demande d’audience. Elle n’a expliqué d’aucune manière pourquoi elle estimait cette mesure nécessaire à la connaissance de la cause. Cela étant, des débats ne paraissent pas utiles, le dossier comportant déjà tous les éléments nécessaires à une prise de décision et l’appelante ayant pu s’exprimer dans le cadre de son écriture d’appel. Au surplus, l’appel doit être tranché selon la procédure de l’art. 312 al. 1 in fine CPC (cf. infra consid. 4). Il n’y a donc pas lieu de tenir une audience d’appel.</w:t>
      </w:r>
    </w:p>
    <w:p>
      <w:r>
        <w:rPr>
          <w:b/>
        </w:rPr>
        <w:t>E. 3.2.1</w:t>
      </w:r>
    </w:p>
    <w:p>
      <w:r>
        <w:t>L’appelante requiert également que les enfants [...] et D.B.________, âgées de 9 et 12 ans, soient entendues par une autorité, soit par l’autorité d’appel, soit par la première juge après annulation de la décision et renvoi de la cause en première instance.</w:t>
      </w:r>
    </w:p>
    <w:p>
      <w:r>
        <w:rPr>
          <w:b/>
        </w:rPr>
        <w:t>E. 3.2.2</w:t>
      </w:r>
    </w:p>
    <w:p>
      <w:r>
        <w:t>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six ans (TF 5A_402/2011 du 5 décembre 2011 consid. 5 ; ATF 133 III 553 consid. 2 non publié). Dans le cadre des procédures relatives aux enfants, la maxime inquisitoire et la maxime d’office trouvent application, conformément à l’art. 296 CPC. Le juge est dès lors tenu d’entendre l'enfant non seulement lorsque celui-ci ou ses parents le requièrent, mais aussi dans tous les cas où aucun juste motif ne s'y oppose (TF 5A_547/2017 du 26 octobre 2017 consid. 3.2.2 ; TF 5A_2/2016 du 28 avril 2016 consid. 2.3, FamPra.ch 2016 p. 804). Le tribunal ne peut dès lors pas rejeter une telle requête en se basant sur une appréciation anticipée des preuves (TF 5A_2/2016 précité consid. 2.3). En principe, l’enfant ne doit être entendu qu’une fois dans le courant de la procédure, que ce soit en première ou en seconde instance, pourvu qu’il ait été entendu sur les points pertinents pour la décision et que les résultats de son audition soient toujours actuels (ATF 146 III 203 consid. 3.3.2 ; TF 5A_729/2020 du 4 février 2021 consid. 3.3.1.1). Il n'y a ainsi pas lieu de renouveler l'audition devant l'autorité cantonale supérieure lorsque les circonstances ne se sont pas modifiées de manière essentielle depuis la dernière audition (TF 5A_56/2020 du 17 août 2020 consid. 4.2 ; TF 5A_911/2012 du 14 février 2013 consid. 7.2.3, FamPra.ch 2013 p. 531).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consid. 4 ; TF 5A_575/2017 du 17 août 2017 consid. 2.3 ; TF 5A 971/2015 du 30 juin 2016 consid. 5.2 ; TF 5A 869/2013 du 24 mars 2014 consid. 2.2, RSPC 2014 p. 342). De même si, dans le cadre d'un même conflit conjugal, le juge est appelé à intervenir par plusieurs décisions successives ou que la décision de première instance est portée devant les autorités d'appel, l'audition de l'enfant n'aura pas à être répétée chaque fois, à moins que l'écoulement d'un temps particulièrement long ou d'autres circonstances rendent nécessaire son actualisation (TF 5A_714/2015 du 28 avril 2016 consid. 4.2.2 ; TF 5A_971/2015 du 30 juin 2016 consid. 5.2, FamPra.ch 2016 p. 1071).</w:t>
      </w:r>
    </w:p>
    <w:p>
      <w:r>
        <w:rPr>
          <w:b/>
        </w:rPr>
        <w:t>E. 3.2.3</w:t>
      </w:r>
    </w:p>
    <w:p>
      <w:r>
        <w:t>En l’espèce, les enfants C.B.________ et D.B.________ n’ont effectivement pas été entendues par la première juge. Toutefois, outre que l’appelante n’a pas requis cette audition en première instance, il y a lieu de relever que la séparation n’est pas encore effective, ou l’est depuis tout récemment. Dans son écriture d’appel, l’appelante a évoqué un nouveau logement sans toutefois préciser à quelle date elle devait déménager ni produire le bail à loyer pourtant annoncé dans le bordereau joint à l’appel. L’intimé pour sa part a indiqué dans ses déterminations sur l’effet suspensif que l’appelante s’était vu attribuer un nouveau logement dès le 15 juillet 2022. Quoi qu’il en soit, la procédure de première instance et les échanges dans la procédure d’appel ont eu lieu alors que les parties vivaient encore sous le même toit et les filles avec leurs deux parents. Demander aux enfants leur avis sur leur futur lieu de vie devra certes intervenir à un moment donné de la procédure si les parties ne s’entendent pas, mais le faire de manière préalable à tout changement reviendrait à demander à de jeunes enfants qu’ils se projettent sur une situation qui n’est pas encore effective, ce qui n’est pas adéquat. Une audition des enfants à ce stade de la procédure reviendrait en outre à leur imposer vraisemblablement une audition subséquente sur leurs nouvelles conditions de vie, ce que la jurisprudence veut éviter. Cette requête de l’appelante doit donc également être rejetée.</w:t>
      </w:r>
    </w:p>
    <w:p>
      <w:r>
        <w:rPr>
          <w:b/>
        </w:rPr>
        <w:t>E. 4.1</w:t>
      </w:r>
    </w:p>
    <w:p>
      <w:r>
        <w:t>L’appelante fait valoir qu’elle s’est occupée de manière quasi exclusive des enfants durant la vie commune. Elle explique qu’elle ne travaillait qu’à 40% pour le garage de son mari, alors que ce dernier travaillait beaucoup, tant pour son garage que dans le cadre de son activité de pompier volontaire, de sorte qu’il ne s’occupait que peu du quotidien des filles. L’appelante s’occupait ainsi de toutes les questions relatives à la scolarité, aux activités extra-scolaires et au quotidien. Elle invoque dès lors l’intérêt des enfants à la stabilité de la situation qui prévalait jusque-là et estime qu’une garde partagée n’est pas appropriée. Elle soutient également que l’intimé ne disposerait pas de la disponibilité nécessaire à la prise en charge personnelle des filles, à leur suivi scolaire et pour l’accompagnement de leurs activités extra-scolaires. Elle reproche également à l’intimé de n’avoir proposé aucune solution de garde concrète lorsqu’il serait en charge des enfants et devrait travailler. L’appelante considère ainsi que la première juge a fait preuve d’arbitraire dans l’analyse des conditions pour une garde alternée. L’appelante fait également valoir que la communication entre les parties se serait considérablement dégradée depuis l’audience du 31 janvier 2022, ce qui ferait prévoir de sérieuses difficultés dans la coopération nécessaire pour prendre en charge les enfants dans le cadre d’une garde partagée. Quant au lien père-fille, il pourrait être suffisamment préservé par une garde d’un week-end sur deux et une nuit par semaine.</w:t>
      </w:r>
    </w:p>
    <w:p>
      <w:r>
        <w:rPr>
          <w:b/>
        </w:rPr>
        <w:t>E. 4.2</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Selon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2014 pp. 511 ss, spéc. n. 1.6.2 p. 545 ; TF 5A_821/2019 du 14 juillet 2020 consid. 4.1 ; TF 5A_200/2019 du 29 janvier 2020 consid. 3.1.2).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FamKommentar, Scheidung, Band I : ZGB, 3 e éd. 2017, n. 10 ad art. 298 CC ; Message entretien de l’enfant, n. 1.6.2 p. 546 s.). En matière d'attribution des droits parentaux, le bien de l'enfant constitue la règle fondamentale (ATF 141 III 328 consid. 5.4), les intérêts des parents devant être relégués au second plan (ATF 142 III 617 consid. 3.2.3 ; ATF 131 III 209 consid. 5 ; TF 5A_771/2018 du 28 mars 2019 consid. 5.2.2).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5A_821/2019 du 14 juillet 2020 consid. 4.1 ; TF 5A_794/2017 du 7 février 2018 consid. 3.1 ; TF 5A_450/2016 du 4 octobre 2016 consid. 4.3.1 et les réf. citées). Pour apprécier ces critères, le juge du fait, qui connaît le mieux les parties et le milieu dans lequel vit l’enfant, dispose d’un large pouvoir d’appréciation (ATF 115 II 317 consid. 2 et 3 ; TF 5A_450/2016 précité consid. 4.3.2 ; TF 5A_976/2014 du 30 juillet 2015 consid. 2.4).</w:t>
      </w:r>
    </w:p>
    <w:p>
      <w:r>
        <w:rPr>
          <w:b/>
        </w:rPr>
        <w:t>E. 4.3</w:t>
      </w:r>
    </w:p>
    <w:p>
      <w:r>
        <w:t>En l’espèce, la première juge a constaté que les parties avaient admis en audience qu’elles s’entendaient très bien s’agissant des questions relatives aux enfants, qu’elles prenaient leurs repas en famille et faisaient même des activités ensemble. Elle a donc estimé que les parties arrivaient à faire la part des choses s’agissant de leurs filles, à s’entendre sur les questions les concernant et à agir de manière à préserver leur bien-être. Ensuite, la première juge a constaté que si la mère s’était principalement occupée des enfants durant la vie commune, il n’apparaissait pas que le père ne se serait pas soucié de ses enfants ni impliqué dans leur vie et leurs activités. L’intimé avait au demeurant pris des dispositions pour être présent. Le lien père-fille devait donc être préservé au même titre que le lien mère-fille.</w:t>
      </w:r>
    </w:p>
    <w:p>
      <w:r>
        <w:rPr>
          <w:b/>
        </w:rPr>
        <w:t>E. 4.4</w:t>
      </w:r>
    </w:p>
    <w:p>
      <w:r>
        <w:t>L’appelante concluant à une garde exclusive, elle revient sur les contributions d’entretien fixées par la première juge. Au vu des arguments de l’appelante et des considérants qui précèdent, conduisant à la confirmation de la garde partagée, il n’y a pas lieu de revenir sur les contributions d’entretien fixées pour les enfants et pour l’épouse, lesquelles ont été calculées en tenant compte de la garde alternée.</w:t>
      </w:r>
    </w:p>
    <w:p>
      <w:r>
        <w:rPr>
          <w:b/>
        </w:rPr>
        <w:t>E. 5</w:t>
      </w:r>
    </w:p>
    <w:p>
      <w:r>
        <w:t>heures. Après le dépôt de son écriture d’appel, l’avocat a comptabilisé l’envoi de 15 courriers et courriels à sa cliente, à la partie adverse et au tribunal, à concurrence de 10 minutes chacun (2h30). Une partie de ces envois constitue à l’évidence des avis de transmission ou mémos, lesquels constituent du travail de secrétariat inclus dans les frais généraux de l’avocat et ne sont pas indemnisables (CREC 17 décembre 2021/345 ; CACI 7 décembre 2021/571 ; CREC 11 août 2017/294). On admettra 1h30 seulement pour ces opérations. Le temps de 5 minutes indiqué systématiquement pour les prises de connaissance des courriers/courriels qui n'impliquent qu'une lecture cursive et brève, ne dépassant pas les quelques secondes pour un avocat correctement formé, n’a pas à être pris en compte (Juge unique CACI 19 février 2021/78 ; CREC 11 mars 2016/89), soit une réduction de 50 minutes de ce fait. Enfin, le temps retenu au titre des « opérations à venir » et des « opérations de clôture », par 1h15 minutes, est excessif et doit être réduit à 30 minutes. Il s'ensuit qu'au tarif horaire de 180 fr. (art. 2 al. 1 let. a et b RAJ [Règlement sur l'assistance judiciaire en matière civile ; BLV 211.02.3]), l'indemnité de Me Karlen doit être fixée à 1’530 fr. (8h30 x 180 fr.), auxquels il convient d’ajouter des débours par 30 fr. 60 (1’350 fr. x 2 %, cf. art. art. 3bis al. 1 RAJ), ainsi que la TVA à 7,7% sur l’ensemble, soit 120 fr. 15, pour un total arrondi à 1’680 francs.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L’appelante versera à l’intimé la somme de 400 fr. (art. 7 et 20 al. 2 TDC [tarif des dépens en matière civile du 23 novembre 2010 ; BLV 270.11.6]) à titre de dépens pour ses déterminations sur la demande d’effet suspensif. Pour le surplus, il n’y a pas lieu à l’allocation de dépens pour la procédure d’appel, l’intimé n’ayant pas été invité à se déterminer sur le fond. Par ces motifs, le Juge unique de la Cour d’appel civile prononce : I. L’appel est rejeté. II. L’ordonnance de mesures protectrices de l’union conjugale rendue le 30 mai 2022 est confirmée. III. Les frais judiciaires de deuxième instance, arrêtés à 800 fr. (huit cents francs), sont mis à la charge de l’appelante A.B.________ mais provisoirement laissés à la charge de l’Etat pour celle-ci. IV. L'indemnité d’office de Me Franck-Olivier Karlen, conseil de l’appelante, est arrêtée à 1’680 fr. (mille six cent huitante francs), TVA et débours compris. V. La bénéficiaire de l’assistance judiciaire est tenue au remboursement des frais judiciaires et de l’indemnité à son conseil d’office, mis provisoirement à la charge de l’Etat, dès qu’elle sera en mesure de le faire (art. 123 CPC). VI. L’appelante A.B.________ doit verser à l’intimé B.B.________ la somme de 400 fr. (quatre cents francs), à titre de dépens de deuxième instance. VII. L’arrêt est exécutoire. Le juge unique :               La greffière : Du Le présent arrêt, dont la rédaction a été approuvée à huis clos, est notifié en expédition complète à : ‑ Me Franck-Olivier Karlen (pour A.B.________), ‑ Me Patricia Michellod (pour B.B.________), et communiqué, par l'envoi de photocopies, à : ‑ Mme la Vice-présidente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