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562 vom 17. Juni 2022</w:t>
      </w:r>
    </w:p>
    <w:p>
      <w:r>
        <w:t>VD Tribunal cantonal, 2022-06-17, FR</w:t>
      </w:r>
    </w:p>
    <w:p>
      <w:r>
        <w:rPr>
          <w:b/>
        </w:rPr>
        <w:t xml:space="preserve">Quelle: </w:t>
      </w:r>
      <w:r>
        <w:t>https://mcp.opencaselaw.ch/entscheid/vd_findinfo_HC___2022___562</w:t>
      </w:r>
    </w:p>
    <w:p>
      <w:r>
        <w:t>FR: VD_FINDINFO HC / 2022 / 562 du 17 juin 2022</w:t>
      </w:r>
    </w:p>
    <w:p>
      <w:r>
        <w:t>IT: VD_FINDINFO HC / 2022 / 562 del 17 giugno 2022</w:t>
      </w:r>
    </w:p>
    <w:p>
      <w:pPr>
        <w:pStyle w:val="Heading2"/>
      </w:pPr>
      <w:r>
        <w:t>Regeste</w:t>
      </w:r>
    </w:p>
    <w:p>
      <w:r>
        <w:t>DROIT D'ÊTRE ENTENDU, RÉPARTITION DES FRAIS, ADMISSION PARTIELLE, DÉCISION DE RENVOI, INDEMNITÉ{EN GÉNÉRAL}, CURATEUR | 29 Cst., 106 al. 2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soit les frais judiciaires et les dépens (art. 95 al. 1 CPC ; Tappy, Commentaire romand, Code de procédure civile, 2 e éd., Bâle 2019,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w:t>
      </w:r>
    </w:p>
    <w:p>
      <w:r>
        <w:rPr>
          <w:b/>
        </w:rPr>
        <w:t>E. 1.2</w:t>
      </w:r>
    </w:p>
    <w:p>
      <w:r>
        <w:t>En l’espèce, formé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La recourante fait grief au premier juge d’avoir statué sur l’indemnité d’office du curateur de représentation sans qu’elle ait pu se prononcer sur la liste des opérations déposée par celui-ci.</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En particulier, le Tribunal fédéral a considéré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w:t>
      </w:r>
    </w:p>
    <w:p>
      <w:r>
        <w:rPr>
          <w:b/>
        </w:rPr>
        <w:t>E. 3.2.2</w:t>
      </w:r>
    </w:p>
    <w:p>
      <w:r>
        <w:t>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5A_923/2018 précité consid. 4.2.1 in fine ).</w:t>
      </w:r>
    </w:p>
    <w:p>
      <w:r>
        <w:rPr>
          <w:b/>
        </w:rPr>
        <w:t>E. 3.3</w:t>
      </w:r>
    </w:p>
    <w:p>
      <w:r>
        <w:t>En l’espèce, il ne ressort pas du dossier que la liste des opérations du 30 septembre 2021 du curateur Me Q.________ ait été communiquée à la recourante avant que le jugement attaqué ne soit rendu. Le procès-verbal des opérations ne l’indique pas. Dès lors que l’autorité précédente a fixé l’indemnité d’office litigieuse sur la base de ladite liste et que la recourante est tenue de rembourser cette indemnité, provisoirement laissée à la charge de l’Etat, dans la mesure de l’art. 123 CPC, l’absence de communication de ce document constitue une violation du droit d’être entendue de l’intéressée (cf. dans ce sens, entre autres, CREC 24 mai 2022/129 ; CREC 11 mars 2022/72 ; CREC 8 février 2022/41 ; CREC 31 juillet 2020/161). En raison de la garantie de la double instance, la cause doit être renvoyée en première instance. Un tel renvoi se justifie d’autant plus que la recourante invoque des griefs à l’encontre de la liste des opérations produite, ce qu’il appartient à l’autorité de première instance d’examiner. Par ailleurs, la Chambre de céans ne dispose pas d’un plein pouvoir d’examen (consid. 2 supra ), de sorte qu’elle ne saurait réparer le vice de procédure. Il s’ensuit qu’il se justifie d’annuler les chiffres VII et VIII du dispositif. Le premier juge devra notifier la liste des opérations du curateur aux parties en leur impartissant un délai pour se déterminer avant de statuer à nouveau sur la quotité de l'indemnité (ch. VII) et sur celle des frais judiciaires, qui comprennent dite indemnité (ch. VIII). Le renvoi de la cause dispense la Chambre de céans d’examiner plus avant les griefs soulevés par la recourante qui traitent du fond.</w:t>
      </w:r>
    </w:p>
    <w:p>
      <w:r>
        <w:rPr>
          <w:b/>
        </w:rPr>
        <w:t>E. 4.1</w:t>
      </w:r>
    </w:p>
    <w:p>
      <w:r>
        <w:t>La recourante conteste ensuite la répartition des frais de justice par trois quarts à sa charge et un quart à la charge de l’intimé.</w:t>
      </w:r>
    </w:p>
    <w:p>
      <w:r>
        <w:rPr>
          <w:b/>
        </w:rPr>
        <w:t>E. 4.2</w:t>
      </w:r>
    </w:p>
    <w:p>
      <w:r>
        <w:t>Conformément à l’art. 106 CPC, les frais sont mis à la charge de la partie succombante (al. 1, 1 ère phr.).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(TF 4A_207/2015 du 2 septembre 2015 consid. 3.1). En général, le fait qu'une partie perd ou gagne à concurrence de quelques pourcents n'est pas pris en considération (TF 4A_266/2021 du 16 septembre 2021 consid. 3.3 ; TF 4A_171/2021 du 27 avril 2021 consid. 5.2 ; TF 5D_182/2017 du 31 octobre 2018 consid. 4.2.3). L’art. 106 al. 2 CPC suppose une répartition des frais judiciaires et des dépens en fonction de l'issue du litige comparé avec les conclusions prises par chacune des parties (TF 4A_226/2013 du 7 octobre 2013 consid. 6.2). Cette réglementation octroie au juge un large pouvoir d'appréciation, en particulier quant au poids accordé aux diverses conclusions litigieuses (TF 5D_108/2020 du 28 janvier 2021 consid. 3.1). Le poids accordé aux conclusions tranchées, peut, de cas en cas, être apprécié selon différents critères, par exemple selon leur importance respective dans le litige ou par rapport à ce qui a été alloué ou selon le travail occasionné (TF 5A_357/2019 du 27 août 2021 consid. 8.3.1 ; TF 5D_108/2020 du 28 janvier 2021 consid. 3.2 ; TF 5A_5/2019 du 4 juin 2019 consid. 3.3.1). Le juge peut aussi prendre en compte le fait qu’une partie ait gagné sur une question de principe (TF 4A_171/2021 du 27 avril 2021 consid. 5.2). Au vu de la diversité des critères, il n'y a pas qu'une seule solution qui soit conforme au droit fédéral (TF 4A_511/2015 du 9 décembre 2015 consid. 2.2). Le juge peut donc pondérer ce que chaque partie obtient en tenant compte du fait que certaines prétentions sont plus importantes que d'autres dans le procès (TF 5A_140/2019 du 5 juillet 2019 consid. 5.1.1). En particulier une répartition purement arithmétique ne peut être opérée, lorsque certaines conclusions n'ont pas de valeur litigieuse ou si cette valeur litigieuse ne peut être déterminée clairement (TF 5A_705/2018 du 16 janvier 2019 consid. 4.3).</w:t>
      </w:r>
    </w:p>
    <w:p>
      <w:r>
        <w:rPr>
          <w:b/>
        </w:rPr>
        <w:t>E. 4.3</w:t>
      </w:r>
    </w:p>
    <w:p>
      <w:r>
        <w:t>En l’occurrence, le premier juge a motivé la répartition des frais par le fait que la procédure avait concerné les contributions d'entretien en faveur des enfants, pour lesquelles aucun des parents n'avait obtenu entièrement gain de cause, ainsi que le droit de visite, au sujet duquel l’intimé avait obtenu l'élargissement demandé. Selon la recourante, les frais de justice auraient dû être répartis par deux entre les parties, la différence mineure concernant la fin du droit de visite du père lors des week-ends ne permettant pas de justifier une autre répartition. Elle ajoute que si les parties n’avaient pas trouvé d’accord sur les contributions d’entretien, elles auraient dû déposer des conclusions actualisées au vu de l’évolution de leur situation financière respective et des besoins des enfants depuis le dépôt des écritures. La répartition des frais se serait alors fondée sur ces nouvelles conclusions. La recourante invoque par ailleurs que les dépens auraient dû être compensés, respectivement très fortement limités, pour les mêmes motifs. Or, contrairement à ce que la recourante soutient, la répartition des frais judiciaires ne saurait se fonder sur des conclusions qui n'ont pas été déposées. Par conséquent, il ne paraît pas inéquitable d'avoir considéré qu'aucune des parties n'obtenait gain de cause sur la partie relative aux contributions d'entretien, dès lors que les pensions convenues sont supérieures à celles auxquelles l’intimé a conclu le 13 mars 2018 et inférieures aux conclusions de la recourante du 3 juillet 2017. Pour la question des relations personnelles, on peut aussi considérer, avec le premier juge, que l'intimé obtient l'élargissement demandé du droit de visite. La répartition arrêtée par le premier juge ne prête donc pas le flanc à la critique. Pour les mêmes raisons, il ne se justifie pas non plus de modifier la quotité des dépens telle qu'accordée par le premier juge à l’intimé. En effet, les frais comprennent les frais judiciaires et les dépens (art 95 al. 1 CPC), de sorte que la répartition prévue par l’art. 106 CPC s’applique également aux dépens. Concernant le montant des dépens, l’autorité précédente les a fixés conformément aux art. 3 al. 2 et 3,</w:t>
      </w:r>
    </w:p>
    <w:p>
      <w:r>
        <w:rPr>
          <w:b/>
        </w:rPr>
        <w:t>E. 4.4</w:t>
      </w:r>
    </w:p>
    <w:p>
      <w:r>
        <w:t>La recourante a encore conclu à la modification du chiffre XI du dispositif relatif au remboursement des frais de justice et de l’indemnité du conseil d’office, en ce sens que le remboursement ne porte pas sur l’indemnité du curateur de représentation, qui devrait être définitivement laissée à la charge de l'Etat. Cependant, la recourante ne motive pas cette conclusion et n'explique pas pour quelle raison le remboursement des frais mis provisoirement à la charge de l'Etat ne devrait pas concerner l'indemnité due au curateur de représentation des enfants. Sur ce point, le recours est irrecevable faute de motivation (art. 321 al. 1 CPC ; ATF 141 III 569 consid. 2.3.3 et les réf. citées ; sur le tout : TF 5D_43/2019 du 24 mai 2019 consid. 3.2.2.1) et il ne saurait être remédié à un défaut de motivation, un tel vice n’étant pas d’ordre formel et affectant le recours de manière irréparable (ATF 137 III 617 consid. 6.4 ; TF 5A_368/2018 du 25 avril 2019 consid. 4.3.4 et les réf. citées ; CREC 13 mai 2020/116 consid. 4.1.2). 5. 5.1 En définitive, le recours est partiellement admis concernant la question de la violation du droit d'être entendue de la recourante, cette violation ne justifiant pas d'inviter l'intimé et le curateur de représentation à déposer une réponse, la cause n'étant pas préjugée sur le fond (TF 5A_910/2016 du 1 er septembre 2017 consid. 4 ; TF 5A_736/2008 du 30 mars 2009 consid. 6 ; TF 5A_163/2008 du 27 mai 2008 consid. 5 ; CREC 22 juin 2021/176 ; CREC 28 mai 2021/159). 5.2 Vu l’issue du litige, les frais judiciaires de deuxième instance, arrêtés à 100 fr. (art. 69 al. 1 et 2 TFJC [tarif des frais judiciaires civils du 28 septembre 2010 ; BLV 270.11.5]), sont laissés à la charge de l'Etat. Il n’y a en outre pas lieu à l’allocation de dépens de deuxième instance, l’Etat ne pouvant pas être considéré comme une partie succombante (ATF 139 III 471 consid. 3.3 ; TF 5A_378/2013 du 23 octobre 2013 consid. 2.2 ; voir également Tappy, op. cit. , nn. 34 ss ad art. 107 CPC). 5.3 5.3.1 La recourante a requis l’assistance judiciaire pour la procédure de deuxième instance. Les conditions posées par l’art. 117 CPC étant remplies, le bénéfice de l’assistance judiciaire doit lui être accordé avec effet au 12 mai 2022, date du dépôt du recours. 5.3.2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5.3.3 Me Raphaël Tatti, conseil de la recourante, a indiqué dans sa liste des opérations avoir consacré 8 heures et 45 minutes au dossier pour des opérations entre le 30 mars et le 16 juin 2022. Vu la nature du litige et les difficultés de la cause, il y a lieu d’admettre ce nombre d'heures, exception faite des opérations antérieures au 12 mai 2022 qui ne concernaient pas encore la procédure de recours. Il s'ensuit qu'au tarif horaire de 180 fr., l'indemnité de Me Tatti doit être fixée à 1'197 fr., correspondant à 6 heures et 39 minutes de travail, montant auquel s'ajoutent les débours par 23 fr. 95 (art. 3bis al. 1 RAJ ; 2 % en deuxième instance) et la TVA sur le tout par 94 fr., soit 1'314 fr. 95 au total, arrondi à 1'315 francs. Par ces motifs, la Chambre des recours civile du Tribunal cantonal, prononce : I. Le recours est partiellement admis. II. Les chiffres VII et VIII du dispositif du jugement sont annulés et la cause est renvoyée au Président du Tribunal civil de l'arrondissement de La Côte pour qu'il procède dans le sens des considérants ; le jugement est confirmé pour le surplus. III. La requête d'assistance judiciaire est admise pour la procédure de recours, Me Raphaël Tatti étant désigné comme conseil d'office de la recourante F.________ avec effet au 12 mai 2022. IV. L'indemnité de Me Raphaël Tatti est arrêtée à 1'315 fr. (mille trois cent quinze francs), TVA et débours compris. V. Les frais judiciaires de deuxième instance, arrêtés à 100 fr. (deux cents francs), sont laissés à la charge de l'Etat. VI. La bénéficiaire de l’assistance judiciaire est tenue de rembourser l’indemnité de son conseil d’office mise à sa charge, mais provisoirement laissée à la charge de l’Etat, dès qu’elle sera en mesure de le faire (art. 123 CPC). VII. L’arrêt est exécutoire. Le président :               La greffière : Du L'arrêt qui précède, dont la rédaction a été approuvée à huis clos, est notifié à : ‑ Me Raphaël Tatti (pour F.________), ‑ Me Olivier Boschetti (pour T.________), - Me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r>
        <w:rPr>
          <w:b/>
        </w:rPr>
        <w:t>E. 9</w:t>
      </w:r>
    </w:p>
    <w:p>
      <w:r>
        <w:t>al. 1 et 19 TDC, ce qui n’est pas critiquable.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