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512 vom 21. Juli 2022</w:t>
      </w:r>
    </w:p>
    <w:p>
      <w:r>
        <w:t>VD Tribunal cantonal, 2022-07-21, FR</w:t>
      </w:r>
    </w:p>
    <w:p>
      <w:r>
        <w:rPr>
          <w:b/>
        </w:rPr>
        <w:t xml:space="preserve">Quelle: </w:t>
      </w:r>
      <w:r>
        <w:t>https://mcp.opencaselaw.ch/entscheid/vd_findinfo_HC___2022___512</w:t>
      </w:r>
    </w:p>
    <w:p>
      <w:r>
        <w:t>FR: VD_FINDINFO HC / 2022 / 512 du 21 juillet 2022</w:t>
      </w:r>
    </w:p>
    <w:p>
      <w:r>
        <w:t>IT: VD_FINDINFO HC / 2022 / 512 del 21 luglio 2022</w:t>
      </w:r>
    </w:p>
    <w:p>
      <w:pPr>
        <w:pStyle w:val="Heading2"/>
      </w:pPr>
      <w:r>
        <w:t>Regeste</w:t>
      </w:r>
    </w:p>
    <w:p>
      <w:r>
        <w:t>PROTECTION DE L'UNION CONJUGALE, ADMISSION DE LA DEMANDE | 170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l'appel a été déposé en temps utile par une partie justifiant d'un intérêt digne de protection (art. 59 al. 2 let. a CPC ; cf. infra consid. 3.3), dans une cause portant sur des réquisitions de pièces tendant à déterminer les prétentions patrimoniales de la requérante et de l’enfant Y.________ envers l’intimé. Lesdites prétentions qui pourraient découler de ces réquisitions étant supérieures à 10'000 fr., l'appel est recevable. L’appelante a produit en date du 29 avril 2022, soit dix-huit jours après le dépôt de la réponse, une réplique spontanée, dont l’intimé conteste la recevabilité. Une réplique spontanée est en principe admissible en vertu du droit d’être entendu (ATF 138 I 154 consid. 2.3.3). Pour être spontanée, la réplique doit toutefois être déposée dans un délai de dix jours après que la partie recourante a eu connaissance de la réponse (TF 5D_81/2015 du 4 avril 2016, SJZ 112 [2016] p. 280). En l’occurrence, le dépôt de la réplique est intervenue plus tard, de sorte que celle-ci ainsi que les déterminations qui se sont suivies et les pièces produites dans ce cadre pourraient être irrecevables. Cette question peut toutefois demeurer ouverte, dès lors que ces écritures ne sont de toute manière pas déterminantes sur l’issue du sort de l’appel (cf. infra consid. 3.3).</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Au stade des mesures protectrices de l’union conjugale,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w:t>
      </w:r>
    </w:p>
    <w:p>
      <w:r>
        <w:rPr>
          <w:b/>
        </w:rPr>
        <w:t>E. 3.1</w:t>
      </w:r>
    </w:p>
    <w:p>
      <w:r>
        <w:t>L’appelante reproche à la première juge d’avoir considéré que ses conclusions étaient de nature procédurale. Elle relève à cet égard que sa requête en renseignement contient trois parties, une partie intitulée « en fait » expliquant de manière détaillée la situation familiale des parties et les objets visés par les renseignements et pièces requis. La deuxième partie motive brièvement la requête et la troisième partie nommée « conclusions » prie la présidente d’ordonner à l’intimé et à un tiers, F.________, de produire un certain nombre de documents, listés de manière précise, en lien direct avec les faits allégués. Selon l’appelante, les conclusions prises afin d’obtenir des renseignements et pièces sur la réelle situation financière de l’époux sont par conséquent bien de droit matériel. Elle soutient qu’elle dispose ainsi d’un intérêt digne de protection à obtenir les pièces et informations requises. L’intimé, pour sa part, allègue qu’aucune procédure de mesures protectrices de l’union conjugale n’est actuellement pendante et que les relations entre les parties ont été réglées par convention passée à l’audience du 5 novembre 2021. Il aurait dans ce cadre produit l’intégralité des renseignements sur ses revenus et sa fortune. L’appelante n’aurait dès lors aucun intérêt digne de protection à obtenir les renseignements et pièces requis. En outre, l’art. 170 CC ne serait pas applicable à la F.________, dès lors qu’il s’agit d’une fondation purement discrétionnaire. Les bénéficiaires de celle-ci n’auraient aucun droit sur les actifs de cette fondation ni aucun droit à sa distribution. Ces actifs appartiendraient exclusivement à la fondation. La fondation ne saurait dès lors être assimilée à un tiers au sens de l’art. 170 CC. Enfin, dès lors que la séparation des parties remonte au 7 septembre 2020, les renseignements requis ne pourraient pas viser, selon l’intimé, une période postérieure à cette date.</w:t>
      </w:r>
    </w:p>
    <w:p>
      <w:r>
        <w:rPr>
          <w:b/>
        </w:rPr>
        <w:t>E. 3.2.1</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 6 e éd., 2018, n. 1 ad art. 170 CC). Le devoir de renseigner peut être imposé par le juge pour autant que l'époux requérant rende vraisemblable l'existence d'un intérêt digne de protection (ATF 132 III 291 consid. 4.2), condition de recevabilité de la demande qui s'examine d'office (cf. art. 59 al. 1 et al. 2 let. a et 60 CPC ; TF 5A_566/2016 du 2 février 2017 consid. 4.2.3). Un tel intérêt existe notamment lorsque des considérations tenant à l’entretien ou au partage du patrimoine de l’époux requis peuvent être invoquées. Les demandes de renseignements chicanières ou manifestant une pure curiosité sont exclues (TF 5A_566/2016 précité consid. 4.2.1 ; TF 5A_918/2014 du 17 juin 2015 consid. 4.2.2 et les réf. citées). Lorsque les conditions précitées sont remplies, le juge peut astreindre soit l'époux récalcitrant, soit des tiers à fournir les renseignements utiles et à produire les pièces nécessaires et adéquates pour permettre à l'époux requérant d'évaluer la situation financière de l’autre conjoint et, le cas échéant, de faire valoir ses prétentions (art. 170 al. 2 CC ; cf. ATF 118 II 27 consid. 3a ; TF 5A_918/2014 du 17 juin 2015 consid. 4.2.3). Le titulaire du droit à l’information ne doit pas prouver ce qu’il recherche pour pouvoir exercer son droit et il suffit que le fait sur lequel porte la demande de renseignements soit potentiellement apte à justifier des prétentions (TF 5A_566/2016 du 2 février 2017 consid. 2.2 ; TF 5A_1022/2015 du 29 avril 2016 consid. 7.1 et 7.4). L'étendue du droit d'être renseigné s'apprécie selon les circonstances de l'espèce et le but des informations requises . Dans ce cadre, le juge procède à une pesée des intérêts, entre celui du requérant à obtenir les renseignements et celui de l'autre à ne pas les donner ( TF 5A_769/2020 du 6 avril 2021 consid. 2.4.2 ; TF 5A_819/2017 du 20 mars 2018 consid. 5.3.2 ; TF 5A_918/2014 du 17 juin 2015 consid. 4.2.3).</w:t>
      </w:r>
    </w:p>
    <w:p>
      <w:r>
        <w:rPr>
          <w:b/>
        </w:rPr>
        <w:t>E. 3.2.2</w:t>
      </w:r>
    </w:p>
    <w:p>
      <w:r>
        <w:t>A l'instar des droits fondés sur les art. 400 al. 1 CO, 607 al. 3 et 610 al. 2 CC, le droit aux renseignements et pièces fondé sur l'art. 170 al. 2 CC, est un droit matériel et non un droit de nature procédurale (TF 5C.157/2003 du 22 janvier 2004 consid. 3.1 publié in : SJ 2004 I 477 et les réf. citées). Le demandeur peut d'une part le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 il peut d'autre part faire valoir ce droit à titre principal, dans une procédure indépendante (ATF 143 III 113 consid. 4.3.1 ; TF 5A_837/2013 du 10 octobre 2014 consid. 1.1.1 ; TF 5A_768/2012 du 17 mai 2013 consid. 4.1), soumise à la procédure sommaire depuis l'entrée en vigueur du CPC (TF 5A_918/2014 du 17 juin 2015 consid. 4.2.1).</w:t>
      </w:r>
    </w:p>
    <w:p>
      <w:r>
        <w:rPr>
          <w:b/>
        </w:rPr>
        <w:t>E. 3.3</w:t>
      </w:r>
    </w:p>
    <w:p>
      <w:r>
        <w:t>En l’espèce, la première juge a considéré que la demande de renseignements de l’appelante devait être rejetée, dès lors que celle-ci ne contenait aucune conclusion de droit matériel qui s’appuierait sur les réquisitions de production de pièces. Cette appréciation ne saurait être suivie. Il ressort en effet clairement de la jurisprudence du Tribunal fédéral précitée (cf. supra consid. 3.2.2) que le droit au renseignement au sens de l’art. 170 CC peut être invoqué par une procédure indépendante. Il importe ainsi peu qu’aucune procédure de mesures protectrices de l’union conjugale ou de divorce ne soit pendante. Le droit au renseignement nécessite cependant un intérêt digne de protection. L’appelante a allégué, à l’appui de sa requête du 24 décembre 2021, que sa demande de renseignements était notamment nécessaire pour déterminer ses propres prérogatives mais également celles dont elle pourrait se prévaloir en faveur de sa fille en qualité de bénéficiaire de la F.________. L’intimé ne conteste pas que l’enfant Y.________ est bénéficiaire de cette fondation, ayant au contraire précisé qu’il représentait sa fille vis-à-vis de la fondation et que toute demande d’attribution devait être faite par l’intimé jusqu’à ce que l’enfant ait atteint la majorité. Au vu des dires de l’intéressé, il n’est manifestement pas exclu que l’enfant Y.________ disposerait de droits sur les actifs de la fondation, sans que l’on soit en mesure à ce stade d’en déterminer l’étendue. Seule la production des statuts, règlements, liste des bénéficiaires et donations émises par la F.________ ainsi que des extraits bancaires de l’intimé serait à même d’apporter les renseignements nécessaires sur ce point. Les renseignements demandés sont ainsi aptes à servir les prétentions de l’enfant Y.________ vis-à-vis tant de la fondation que de l’intimé dans le cadre d’une éventuelle procédure en divorce. L'intimé prétend qu'il a suffisamment renseigné son épouse sur sa situation financière et qu’il a produit l’intégralité des renseignements sur ses revenus et sa fortune dans le cadre de la procédure ayant abouti à la conclusion de la convention du 5 novembre 2021, sans préciser explicitement quelle(s) pièce(s) auraient d'ores et déjà été produites. Il renvoie le Juge de céans à ses déterminations du 15 février 2022 et à l'ensemble des pièces produites, sans davantage de motivation. Ce faisant, il ne rend pas vraisemblable que les pièces litigieuses auraient été produites. Il y a ainsi lieu d'admettre l'existence d'un intérêt digne de protection aux réquisitions de pièces formulées par l'appelante, qui sont donc recevables. L’art 170 CC permet au juge d’astreindre soit l'époux récalcitrant, soit des tiers à fournir les renseignements utiles et à produire les pièces nécessaires. Par tiers, on entend toute personne physique capable de discernement et toute personne morale de droit privé ou tout établissement de droit publique dépourvu de la puissance publique (Audrey Leuba, in Leuba/Bastons Bulletti, Commentaire Romand, Code civil I, n. 15 ad art. 170). Il s’ensuit que l’appelante peut parfaitement exiger que les renseignements requis soient fournis par la F.________. En l’occurrence l’appelante a requis tant en mains de son époux que de la F.________ les pièces litigieuses. Une telle réquisition s’avère disproportionnée, dès lors qu’il n’existe aucun indice à ce stade qu’il laisserait présumer que l’époux ne s’exécutera pas. Dans ces circonstances, il se justifie d’ordonner en premier lieu la production des titres requis en mains de l’intimé. Si ce dernier venait à refuser d’y donner suite, l’appelante pourra, le cas échéant, saisir la première juge d’une nouvelle requête tendant à la production par la F.________ des documents requis. Enfin, on ne décèle aucun motif qui justifierait de limiter la production des pièces requises à la date de séparation des parties, ces pièces ayant notamment pour but de déterminer les droits et libéralités dont peut prétendre l’enfant Y.________ en sa qualité de bénéficiaire de la F.________. Partant, il y a lieu d’ordonner à l’intimé la production des pièces requises par l’appelante au pied de sa requête du 24 décembre 2021.</w:t>
      </w:r>
    </w:p>
    <w:p>
      <w:r>
        <w:rPr>
          <w:b/>
        </w:rPr>
        <w:t>E. 4.1</w:t>
      </w:r>
    </w:p>
    <w:p>
      <w:r>
        <w:t>Au vu de ce qui précède, l’appel doit être partiellement admis et le prononcé réformé aux chiffre I et III de son dispositif en ce sens que la demande de renseignement formulée par requête du 24 décembre 2021 doit être partiellement admise, l’intimé devant à l’appelante la somme de 2'000 fr. à titre de dépens de première instance (art. 6 al. 1 TDC [tarif des dépens en matière civile du 23 novembre 2010 ; BLV 270.11.6]) dès lors qu’il succombe (art. 106 al. 1 CPC).</w:t>
      </w:r>
    </w:p>
    <w:p>
      <w:r>
        <w:rPr>
          <w:b/>
        </w:rPr>
        <w:t>E. 4.3</w:t>
      </w:r>
    </w:p>
    <w:p>
      <w:r>
        <w:t>Les frais judiciaires de deuxième instance, arrêtés à 600 fr. (art. 65 al. 2 TFJC [tarif des frais judiciaires civils du 28 septembre 2010 ; BLV 270.11.5]), sont mis à la charge de l’intimé, qui succombe sur le principe du droit au renseignement (art. 106 al. 1 CPC). Celui-ci versera en outre à l’appelante la somme de 1'000 fr. (art. 7 al. 1 TDC) à titre de dépens, soit de 1'600 fr. au total à ce titre et de restitution d’avance de frais de deuxième instance (art. 111 al. 2 CPC). Par ces motifs, le Juge unique de la Cour d’appel civile prononce : I. L’appel est partiellement admis. II. Le prononcé est réformé aux chiffres I et III et par l’ajout d’un chiffre Ibis comme il suit : I. admet partiellement la requête déposée le 24 décembre 2021 par A.X.________, née [...], à l’encontre de B.X.________ ; Ibis ordonne à B.X.________ la production des pièces suivantes : - les statuts de la F.________ (p. 50) ; - l’ensemble des règlements régissant la F.________ (p. 51) ; - la liste des bénéficiaires de la F.________ (p. 52) ; - la liste des donations et autres actes juridiques dont a bénéficié B.X.________ de la part de la F.________ jusqu’au 24 décembre 2021 (p. 53) ; - les extraits complets des comptes ouverts au nom de B.X.________ ou dont il est bénéficiaire à quelque titre que ce soit auprès de la [...] (p. 54) ; - les extraites complets des comptes ouverts au nom de B.X.________ ou dont il est bénéficiaire à quelque titre que ce soit auprès de la [...] (p. 55) ; III. dit que B.X.________ est le débiteur de A.X.________ et lui doit immédiat paiement de la somme de 2'000 fr. (deux mille francs) à titre de dépens ; Le prononcé est maintenu pour le surplus. III. Les frais judiciaires de deuxième instance, arrêtés à 600 fr. (six cents francs), sont mis à la charge de l’intimé B.X.________. IV. L’intimé B.X.________ versera à l’appelante A.X.________ la somme de 1'600 fr. (mille six cents francs) à titre de dépens de deuxième instance et de restitution d’avance de frais. V. L’arrêt est exécutoire. Le juge unique :               La greffière : Du Le présent arrêt, dont la rédaction a été approuvée à huis clos, est notifié en expédition complète à : ‑ Me Astynax Peca (pour A.X.________), ‑ Me François Roux (pour B.X.________),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