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458 vom 16. Juni 2022</w:t>
      </w:r>
    </w:p>
    <w:p>
      <w:r>
        <w:t>VD Tribunal cantonal, 2022-06-16, FR</w:t>
      </w:r>
    </w:p>
    <w:p>
      <w:r>
        <w:rPr>
          <w:b/>
        </w:rPr>
        <w:t xml:space="preserve">Quelle: </w:t>
      </w:r>
      <w:r>
        <w:t>https://mcp.opencaselaw.ch/entscheid/vd_findinfo_HC___2022___458</w:t>
      </w:r>
    </w:p>
    <w:p>
      <w:r>
        <w:t>FR: VD_FINDINFO HC / 2022 / 458 du 16 juin 2022</w:t>
      </w:r>
    </w:p>
    <w:p>
      <w:r>
        <w:t>IT: VD_FINDINFO HC / 2022 / 458 del 16 giugno 2022</w:t>
      </w:r>
    </w:p>
    <w:p>
      <w:pPr>
        <w:pStyle w:val="Heading2"/>
      </w:pPr>
      <w:r>
        <w:t>Regeste</w:t>
      </w:r>
    </w:p>
    <w:p>
      <w:r>
        <w:t>LOCAL PROFESSIONNEL, BAIL À LOYER, GARANTIE EN RAISON DES DÉFAUTS DE LA CHOSE | 20 CO, 259a CO, 264 CO</w:t>
      </w:r>
    </w:p>
    <w:p>
      <w:pPr>
        <w:pStyle w:val="Heading2"/>
      </w:pPr>
      <w:r>
        <w:t>Erwägungen</w:t>
      </w:r>
    </w:p>
    <w:p>
      <w:r>
        <w:rPr>
          <w:b/>
        </w:rPr>
        <w:t>E. 1</w:t>
      </w:r>
    </w:p>
    <w:p>
      <w:r>
        <w:t>CPC). Formé en temps utile par des parties qui ont un intérêt digne de protection (art. 59 al.</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w:t>
      </w:r>
    </w:p>
    <w:p>
      <w:r>
        <w:rPr>
          <w:b/>
        </w:rPr>
        <w:t>E. 1.2</w:t>
      </w:r>
    </w:p>
    <w:p>
      <w:r>
        <w:t>En première instance, les appelants ont retiré leurs conclusions principales et subsidiaires tendant à la libération de la garantie de loyer en leur faveur.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Ces conditions n’étant pas remplies en l’espèce, les conclusions tendant à la réforme du jugement entrepris en ce sens que la garantie de loyer soit libérée en faveur des appelants sont irrecevables.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3.2</w:t>
      </w:r>
    </w:p>
    <w:p>
      <w:r>
        <w:t>Sans se plaindre d’une constatation inexacte ou incomplète des faits, les appelants « rappellent et complètent », sur 17 pages « les faits énoncés dans le jugement querellé ». Ils allèguent en outre librement des faits qui ne figurent pas dans le jugement entrepris. Il en va en particulier des allégués 13, 14, 22, 31, 38 à 40 et 46. Cette partie de l’appel est irrecevable, eu égard à la jurisprudence rappelée ci-dessus.</w:t>
      </w:r>
    </w:p>
    <w:p>
      <w:r>
        <w:rPr>
          <w:b/>
        </w:rPr>
        <w:t>E. 4.1</w:t>
      </w:r>
    </w:p>
    <w:p>
      <w:r>
        <w:t>Invoquant une violation de l’art. 20 CO (Code des obligations du 30 mars 1911 ; RS 220), les appelants contestent la validité du contrat de bail. Ils soutiennent que l’intimée et la gérance n’auraient jamais annoncé les travaux effectués avant le début du contrat de bail. Il ne s’agirait par ailleurs pas de travaux de faible importance. Les surfaces auraient été réaménagées conformément au contrat conclu, si bien que l’art. 68a RLATC (règlement d’application de la loi du 4 décembre 1985 sur l'aménagement du territoire et les constructions ; BLV 700.11.1) ne s’appliquerait pas et que l’intimée aurait effectué des travaux sans contrôle du respect des normes en matière de constructions. Or si les travaux n’étaient pas en conformité avec le droit de la construction, le contrat de bail ne pouvait pas pu être conclu. Ils relèvent également qu’il incombait aux premiers juges de vérifier l’affectation des locaux avant la conclusion du bail et qu’ils auraient eux-mêmes démontré qu’ils ne pouvaient pas exercer leurs activités commerciales au motif que les locaux n’étaient pas en état de permettre une exploitation commerciale, qui plus est une activité de médecine esthétique.</w:t>
      </w:r>
    </w:p>
    <w:p>
      <w:r>
        <w:rPr>
          <w:b/>
        </w:rPr>
        <w:t>E. 4.2</w:t>
      </w:r>
    </w:p>
    <w:p>
      <w:r>
        <w:t>Aux termes de l’art. 20 CO, le contrat est nul s’il a pour objet une chose impossible, illicite ou contraire aux mœurs. En matière de bail à loyer, l’usage convenu des locaux loués doit respecter les règles de droit public fédérales et cantonales quant à leur destination. Par exemple, un bail qui autoriserait le locataire à utiliser les locaux à un usage commercial, alors que le droit cantonal impose qu’ils soient destinés à l’habitation est nul (Lachat, in Lachat/Grobet Thorens/Rubli/Stastny, Le bail à loyer, éd. 2019 [cité ci-après : Le bail à loyer], n. 1.3.4 p. 58 ; Lachat/Rubli, in Le bail à loyer, n. 1.5 p. 260).</w:t>
      </w:r>
    </w:p>
    <w:p>
      <w:r>
        <w:rPr>
          <w:b/>
        </w:rPr>
        <w:t>E. 4.3</w:t>
      </w:r>
    </w:p>
    <w:p>
      <w:r>
        <w:t>Les parties ont conclu un contrat de bail portant sur un local commercial à l’usage d’un institut de bien-être. Ce contrait prévoyait notamment que les locaux tels que vus et visités, subiraient une réfection et une transformation, selon plan et descriptif annexés, faisant partie intégrante du bail. Il prévoyait en outre que pendant toute la durée du bail, aucuns travaux ne seraient effectués dans les locaux loués au locataire par le bailleur, sous la seule réserve des travaux qui seraient nécessaires en cas de survenance de défauts dont le bailleur répondrait conformément au droit du bail ou qui seraient conformes aux art. 257h et 260 CO. Le contrait prévoyait également qu’il appartenait au locataire d’obtenir, sous sa seule responsabilité et à ses frais, toutes les autorisations administratives nécessaires à l’exploitation des locaux qui faisaient l’objet du contrat et que le locataire adapterait, à ses frais, les installations et aménagements des locaux aux règlements et instructions administratives en vigueur, lors de la conclusion et en cours de bail. Les appelants ne démontrent pas qu’ils n’auraient pas été autorisés à exploiter un institut de bien-être dans les locaux loués au motif que ceux-ci auraient dû être exclusivement réservés à de l’habitation. Au contraire, dans le cas d’espèce, le Service de l’urbanisme de la ville de [...] a indiqué ne pas disposer de l’historique de chaque niveau/étage du bâtiment, mais que les affectations données pour l’ensemble du bâtiment étaient « habitation et artisanat/industrie et commerce ». Par ailleurs, les locaux en question étaient précédemment loués par [...], et non pas en vue d’habitation. Enfin, dans le cadre de leurs échanges avec la partie adverse, en cours de bail, les locataires n’ont jamais allégué ne pas pouvoir exercer leurs activités commerciales en raison précisément d’un problème d’affectation. Le grief est donc rejeté, ce qui entraîne le même sort pour toutes les conclusions formulées à titre principal dans l’appel, sous réserve de la conclusion en libération de la garantie bancaire, irrecevable (cf. supra consid. 1.2).</w:t>
      </w:r>
    </w:p>
    <w:p>
      <w:r>
        <w:rPr>
          <w:b/>
        </w:rPr>
        <w:t>E. 5.1</w:t>
      </w:r>
    </w:p>
    <w:p>
      <w:r>
        <w:t>Les appelants invoquent des défauts de la chose louée, qui justifieraient une réduction du prix du loyer de 13'950 fr. pour les mois d’août 2017 à janvier 2018.</w:t>
      </w:r>
    </w:p>
    <w:p>
      <w:r>
        <w:rPr>
          <w:b/>
        </w:rPr>
        <w:t>E. 5.2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déjà cité, consid. 3.1.1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déjà cité, consid. 5.2 et les réf. citées).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déjà cité, consid. 4). Conformément à la règle générale de l'art. 8 CC ( Code civil suisse du 10 décembre 1907 ; RS 210), il incombe au locataire de prouver l'existence du défaut subséquent, au sens de l'art. 259a CO, qu'il invoque (TF 4A_411/2020, déjà cité, consid. 3.1.2).</w:t>
      </w:r>
    </w:p>
    <w:p>
      <w:r>
        <w:rPr>
          <w:b/>
        </w:rPr>
        <w:t>E. 5.3.1</w:t>
      </w:r>
    </w:p>
    <w:p>
      <w:r>
        <w:t>Les appelants allèguent qu’avant la signature du contrat, une réfection quasi-totale des locaux était prévue, que ces travaux n’auraient pas été terminés au mois d’août 2017 et qu’ils se seraient poursuivis les semaines suivantes. Par courrier du 4 août 2017, l’appelant a écrit, en substance, à la gérance que l’appelante et lui étaient, dans l’ensemble, satisfaits des travaux entrepris, qu’ils attendaient son feu vert pour « aménagement avec la fin des travaux de finition peinture, fenêtre, cuisine et électricité ainsi que le nettoyage des coulures de peinture et sols » et qu’ils démarreraient le loyer à cette date au pro rata des jours pour le mois d’août. Indépendamment des finitions, les appelants ont également remarqué que la porte des toilettes ne fermait pas et ont relevé quelques points à vérifier sur le plan électrique. Par lettre du 9 août 2017, la gérance a notamment expliqué à l’appelant que les finitions de peinture et menuiserie allaient s’achever ce jour et lui a fourni des explications sur les autres points soulevés. La remise des clés a finalement eu lieu le 14 août 2017, date à partir de laquelle les appelants ont commencé à s’acquitter du loyer. Les appelants ne démontrent pas que les défauts invoqués dans leur courrier du 7 août 2017 n’ont pas été supprimés comme indiqué dans la réponse de la gérance du 9 suivant. Ils n’ont pas adressé d’autres plaintes à ce sujet à l’intimée.</w:t>
      </w:r>
    </w:p>
    <w:p>
      <w:r>
        <w:rPr>
          <w:b/>
        </w:rPr>
        <w:t>E. 5.3.2</w:t>
      </w:r>
    </w:p>
    <w:p>
      <w:r>
        <w:t>Les appelants expliquent avoir requis une baisse de loyer dès lors qu’il n’était selon eux pas possible de faire venir des clients, les travaux de réfection des communs ayant causé des nuisances jusqu’en décembre 2017. Ils relèvent également que les défauts non réparés étaient nombreux : installations de chauffage défectueuse, sécurisation du bâtiment défectueuse, électricité défectueuse, présence de toxicomanes dans les communs, travaux de réfection des communs jusqu’en décembre 2017. Par courriel du 20 octobre 2017, l’appelant a informé la gérance de la présence, depuis plusieurs semaines, d’usagers de drogues dans les communs de l’immeuble. Le 23 suivant, la gérance lui a répondu qu’à la suite de leur téléphone du 20, la société de nettoyage était intervenue, qu’elle était elle-même passée sur place, de même que la police, qu’elle était également intervenue avec la société [...] afin de renforcer la porte de l’immeuble pour ne plus avoir ces problèmes. Selon un échange de courriers des 22 et 23 novembre 2017, les appelants ont signalé des problèmes de chauffage auxquels la gérance a répondu le lendemain en indiquant qu’un chauffagiste avait été sollicité. S’agissant encore des parties communes, l’appelant a écrit le 24 novembre 2017 que l’appelante et lui souhaitaient que les travaux des communs (interphone, boîte à lettre, sécurité) soient définitivement réglés, le cadre n’étant pas rempli pour accueillir des clientes en esthétique, que la régie s’était engagée à finir tous ces travaux fin novembre, ce qui n’était pas le cas, et qu’ils constataient une perte sèche des revenus espérés, sollicitant un réaménagement du loyer jusqu’à ce qu’ils puissent travailler. La gérance a répondu le même jour, indiquant que les travaux allaient être terminés dans le délai prévu à la fin novembre et qu’elle allait procéder au remplacement de la moquette de l’entrée des locaux le 27 novembre 2017, ainsi qu’à la pose d’un interphone. Il résulte de ce qui précède que la gérance a immédiatement réagi lorsque des problèmes lui ont été signalés, aucun élément du dossier ne permettant d’affirmer que ceux-ci auraient perduré et entraîné un impact sur l’usage des locaux loués. Le grief doit être rejeté, faute de défauts établis.</w:t>
      </w:r>
    </w:p>
    <w:p>
      <w:r>
        <w:rPr>
          <w:b/>
        </w:rPr>
        <w:t>E. 6.1</w:t>
      </w:r>
    </w:p>
    <w:p>
      <w:r>
        <w:t>Les appelants soutiennent que le bail aurait pris fin le 30 avril 2018 et qu’ils seraient définitivement partis le 30 novembre 2018, de sorte que les loyers auraient dû être calculés jusqu’au 30 avril 2018 avec intérêts à 7 % et l’indemnité pour occupation illicite aurait dû être calculée du 1 er mai 2018 au 30 novembre 2018 avec intérêts à 5 %.</w:t>
      </w:r>
    </w:p>
    <w:p>
      <w:r>
        <w:rPr>
          <w:b/>
        </w:rPr>
        <w:t>E. 6.2</w:t>
      </w:r>
    </w:p>
    <w:p>
      <w:r>
        <w:t>Après que le congé est parvenu à son destinataire, les parties peuvent convenir d’un nouveau bail aux mêmes conditions que celui qui a été résilié. En ce sens, on peut parler d’un retrait du congé ou d’une renonciation à la résiliation, qui intervient d’un commun accord entre les parties (Lachat, op. cit., n. 8.2 p. 842).</w:t>
      </w:r>
    </w:p>
    <w:p>
      <w:r>
        <w:rPr>
          <w:b/>
        </w:rPr>
        <w:t>E. 6.3</w:t>
      </w:r>
    </w:p>
    <w:p>
      <w:r>
        <w:t>Le tribunal a considéré que le bail avait valablement pris fin le 31 juillet 2019 et que les appelants devaient par conséquent le solde du loyer du mois de mai 2019 d’un montant de 1'300 fr., ainsi que les loyers des mois de juin et juillet 2019 d’un montant de 6'200 fr. Il a également relevé que nonobstant l’ordonnance du juge de paix du 15 octobre 2019 ordonnant aux appelants de quitter et de rendre libres les locaux litigieux pour le 22 novembre 2019, la restitution effective des locaux n’avait eu lieu que le 29 novembre 2019 et que les appelants étaient par conséquent redevables envers la bailleresse d’une indemnité pour occupation illicite pour les mois d’août à novembre 2019, soit de 11'600 francs. Certes, il résulte des pièces du dossier que la gérance a notifié aux appelants une première résiliation du bail pour le 30 avril 2018. Reste qu’au regard des éléments du dossier, on doit admettre qu’il y a eu, d’un commun accord, une renonciation à cette première résiliation. En effet, d’une part, les deux parties ont par la suite procédé à de nouvelles résiliations du bail. D’autre part, elles ont échangé au sujet d’un plan de rattrapage des loyers en souffrance, le gérant B.________ constatant notamment que les loyers étaient régulièrement acquittés depuis le mois de janvier 2019. Le grief doit donc être rejeté.</w:t>
      </w:r>
    </w:p>
    <w:p>
      <w:r>
        <w:rPr>
          <w:b/>
        </w:rPr>
        <w:t>E. 7.1</w:t>
      </w:r>
    </w:p>
    <w:p>
      <w:r>
        <w:t>Les appelants requièrent la restitution de 17'300 fr. à titre de remboursement des loyers perçus depuis le 30 novembre 2018. Ils expliquent qu’ils auraient quitté les locaux à cette date et que la gérance aurait alors refusé la restitution des clés et n’aurait entrepris aucune démarche pour la relocation des locaux afin de diminuer son dommage.</w:t>
      </w:r>
    </w:p>
    <w:p>
      <w:r>
        <w:rPr>
          <w:b/>
        </w:rPr>
        <w:t>E. 7.2.1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 ATF 140 III 496 consid. 4.1 ; ATF 138 III 59 consid. 2.1, JdT 2014 II 418). Le bail est en effet un contrat qui n'oblige les parties que jusqu'à l'expiration de la période convenue ; au terme du contrat, la liberté contractuelle renaît et chacune a la faculté de conclure ou non un nouveau contrat et de choisir son cocontractant (TF 4A_19/2016 du 2 mai 2017 consid. 2.1 ; TF 4A_484/2012 du 28 février 2013 consid. 2.3.1 ; TF 4A_167/2012 du 2 août 2012 consid. 2.2 ; TF 4A_735/2011 du 16 janvier 2012 consid. 2.2).</w:t>
      </w:r>
    </w:p>
    <w:p>
      <w:r>
        <w:rPr>
          <w:b/>
        </w:rPr>
        <w:t>E. 7.2.2</w:t>
      </w:r>
    </w:p>
    <w:p>
      <w:r>
        <w:t>Aux termes de l'art. 264 al. 1 CO, le locataire qui restitue la chose de manière anticipée n'est libéré de ses obligations contractuelles que s'il présente un locataire de remplacement qui soit solvable et que le bailleur ne puisse raisonnablement refuser ; le candidat proposé doit en outre être disposé à reprendre le bail aux mêmes conditions. Le bailleur doit se trouver dans la même situation que celle qui aurait été la sienne si le bail s'était poursuivi avec le même locataire (cf. ATF 117 II 156 consid. 3b, JdT 1992 I 317 ; TF 4A_239/2020 du 5 août 2020 consid. 10.1 ; TF 4A_332/2016 du 20 septembre 2016 consid. 3.2.2 et 3.2.3 ; TF 4A_504/2009 du 6 janvier 2010 consid. 2.4). Le bailleur n'est en principe pas tenu d'entreprendre lui-même des démarches afin de trouver un locataire de remplacement (TF 4C.248/1996 du 2 octobre 1997 consid. 6c). On déduit des règles consacrées par l'art. 264 al. 3 CO qu'il est tenu de prêter son concours au locataire sortant dans la recherche d'un nouveau locataire, ou, en cas de défaillance du locataire sortant, d'accomplir lui-même des efforts en vue de trouver un locataire de remplacement (TF 4A_452/2019 du 1 er juillet 2020 consid. 4.6 ; TF 4C.248/1996 du 2 octobre 1997 consid. 6c). La loi (art. 99 al. 3 et 44 CO) impose en effet au bailleur de faire diligence pour relouer les locaux et ainsi limiter au maximum son préjudice (Lachat/Rubli, op. cit., n. 8.2 p. 1054).</w:t>
      </w:r>
    </w:p>
    <w:p>
      <w:r>
        <w:rPr>
          <w:b/>
        </w:rPr>
        <w:t>E. 7.3</w:t>
      </w:r>
    </w:p>
    <w:p>
      <w:r>
        <w:t>Par courrier du 21 novembre 2018, invoquant des difficultés personnelles et professionnelles ne leur permettant plus d’assumer leurs activités, les appelants ont résilié le contrat de bail les liant à l’intimée pour le 1 er décembre 2018. Deux jours plus tard, la gérance a rappelé aux appelants qu’ils étaient tenus de leurs obligations contractuelles jusqu’à l’échéance du bail, soit le 1 er octobre 2022, sauf conclusion d’un nouveau contrat avec un repreneur. Les parties ont conclu un contrat de bail pour une durée initiale allant du 1 er août 2017 au 1 er octobre 2022, le bail se renouvelant de plein droit pour cinq ans et ainsi de suite de cinq ans en cinq ans, sauf avis de résiliation donné et reçu par l’une ou l’autre des parties, au moins une année à l’avance pour la prochaine échéance. Partant, les appelants ne pouvaient pas, par courrier du 21 novembre 2018, résilier leur bail pour le 1 er décembre 2018, sauf présentation d’un locataire de remplacement, ce qu’ils ne prétendent pas avoir fait. Les locataires n’étaient donc pas délivrés du paiement des loyers dès le 1 er décembre 2018. Les appelants font certes valoir que l’intimée n’aurait effectué aucune démarche pour limiter son dommage. Ils n’apportent toutefois aucune précision à ce sujet, si bien que le grief, insuffisamment motivé, doit être rejeté, dans la mesure où il est recevable.</w:t>
      </w:r>
    </w:p>
    <w:p>
      <w:r>
        <w:rPr>
          <w:b/>
        </w:rPr>
        <w:t>E. 8.1</w:t>
      </w:r>
    </w:p>
    <w:p>
      <w:r>
        <w:t>Au vu de ce qui précède, l’appel, manifestement mal fondé, doit être rejeté dans la mesure de sa recevabilité, en application de l’art. 312 al. 1 in fine CPC, et le jugement entrepris confirmé.</w:t>
      </w:r>
    </w:p>
    <w:p>
      <w:r>
        <w:rPr>
          <w:b/>
        </w:rPr>
        <w:t>E. 8.2</w:t>
      </w:r>
    </w:p>
    <w:p>
      <w:r>
        <w:t>L’appel étant d’emblée dénué de toutes chances de succès, la requête d’assistance judiciaire doit être rejetée (art. 117 let. b CPC).</w:t>
      </w:r>
    </w:p>
    <w:p>
      <w:r>
        <w:rPr>
          <w:b/>
        </w:rPr>
        <w:t>E. 8.3</w:t>
      </w:r>
    </w:p>
    <w:p>
      <w:r>
        <w:t>Les frais judiciaires de deuxième instance, arrêtés à 1'633 fr. (art. 62 al. 1 TFJC [ tarif des frais judiciaires civils du 28 septembre 2010 ; BLV 270.11.5]), seront mis à la charge des appelants, solidairement entre eux, dès lors qu’ils succombent (art. 106 al. 1 et 3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