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406 vom 2. Mai 2022</w:t>
      </w:r>
    </w:p>
    <w:p>
      <w:r>
        <w:t>VD Tribunal cantonal, 2022-05-02, FR</w:t>
      </w:r>
    </w:p>
    <w:p>
      <w:r>
        <w:rPr>
          <w:b/>
        </w:rPr>
        <w:t xml:space="preserve">Quelle: </w:t>
      </w:r>
      <w:r>
        <w:t>https://mcp.opencaselaw.ch/entscheid/vd_findinfo_HC___2022___406</w:t>
      </w:r>
    </w:p>
    <w:p>
      <w:r>
        <w:t>FR: VD_FINDINFO HC / 2022 / 406 du 2 mai 2022</w:t>
      </w:r>
    </w:p>
    <w:p>
      <w:r>
        <w:t>IT: VD_FINDINFO HC / 2022 / 406 del 2 maggio 2022</w:t>
      </w:r>
    </w:p>
    <w:p>
      <w:pPr>
        <w:pStyle w:val="Heading2"/>
      </w:pPr>
      <w:r>
        <w:t>Regeste</w:t>
      </w:r>
    </w:p>
    <w:p>
      <w:r>
        <w:t>SUSPENSION DE LA PROCÉDURE, PRINCIPE DE LA CÉLÉRITÉ, REJET DE LA DEMANDE, PROCÉDURE PÉNALE | 126 al. 1 CPC (CH)</w:t>
      </w:r>
    </w:p>
    <w:p>
      <w:pPr>
        <w:pStyle w:val="Heading2"/>
      </w:pPr>
      <w:r>
        <w:t>Erwägungen</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lesquelles sont des ordonnances d’instruction (ATF 141 III 270 consid. 3.3) dont l’art. 126 al. 2 CPC prévoit qu’elles sont attaquables par la voie du recours. Le recours, écrit et motivé, doit être introduit auprès de l’instance de recours, soit la Chambre des recours civile (art. 73 al. 1 LOJV [loi d’organisation judiciaire du 12 décembre 1979 ; BLV 173.01]), dans les dix jours à compter de la notification de la décision motivée (art. 321 al. 2 CPC).</w:t>
      </w:r>
    </w:p>
    <w:p>
      <w:r>
        <w:rPr>
          <w:b/>
        </w:rPr>
        <w:t>E. 1.2</w:t>
      </w:r>
    </w:p>
    <w:p>
      <w:r>
        <w:t>En l'espèce, interjeté en temps utile par une partie qui a un intérêt digne de protection (art. 59 al. 2 let. a CPC), le recours est recevable.</w:t>
      </w:r>
    </w:p>
    <w:p>
      <w:r>
        <w:rPr>
          <w:b/>
        </w:rPr>
        <w:t>E. 2.1</w:t>
      </w:r>
    </w:p>
    <w:p>
      <w:r>
        <w:t>Sous l’angle des motifs,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 allégations de faits et les preuves nouvelles sont irrecevables en procédure de recours (art. 326 al. 1 CPC). En l’espèce, l’appelant a produit une pièce nouvelle à l’appui de son recours, laquelle est donc irrecevable.</w:t>
      </w:r>
    </w:p>
    <w:p>
      <w:r>
        <w:rPr>
          <w:b/>
        </w:rPr>
        <w:t>E. 3.1</w:t>
      </w:r>
    </w:p>
    <w:p>
      <w:r>
        <w:t>La recourante fait valoir une violation de l'art. 126 CPC, en ce sens que le procès civil ne dépendrait pas du sort de la procédure pénale. Elle soutient que sa demande en paiement ne se fonderait pas sur le contrat litigieux, mais sur le contrat écrit précédent du 8 janvier 2018 modifié en raison de l'exécution, par elle, de prestations supplémentaires et par un contrat oral du 14 janvier 2019 modifiant sa rémunération forfaitaire. Le contrat du 4 juin 2018, argué de faux, ne serait qu'une procuration. Dans un deuxième moyen, la recourante soutient que le prononcé querellé violerait le principe de célérité.</w:t>
      </w:r>
    </w:p>
    <w:p>
      <w:r>
        <w:rPr>
          <w:b/>
        </w:rPr>
        <w:t>E. 3.2</w:t>
      </w:r>
    </w:p>
    <w:p>
      <w:r>
        <w:t>L'art. 126 al. 1 CPC autorise le tribunal à suspendre le procès civil lorsque des motifs d'opportunité le commandent, en particulier lorsque le jugement dépend du sort d'un autre procès.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La décision ordonnant la suspension de la cause (art. 126 al. 1 CPC) est une mesure d'instruction (TF 5A_276/2010 du 10 août 2010 consid. 2.2). Elle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(TF 4A_683/2014 du 17 février 2015 consid. 2.1, cité in Colombini, Code de procédure civile, Condensé de la jurisprudence fédérale et vaudoise, 2018, n. 4.1 art. 126 CPC).</w:t>
      </w:r>
    </w:p>
    <w:p>
      <w:r>
        <w:rPr>
          <w:b/>
        </w:rPr>
        <w:t>E. 3.3</w:t>
      </w:r>
    </w:p>
    <w:p>
      <w:r>
        <w:t>Le premier juge a ordonné la suspension de la cause en considérant notamment que le contrat argué de fausse signature était à la base des prétentions civiles de la recourante et que la détermination de la personne du signataire dans le cadre de la procédure pénale constituait un fait essentiel pour la résolution du procès civil, les parties aux deux procédures étant les mêmes, tant le directeur de la société recourante que la recourante elle-même étant visés par la plainte pénale, le premier à titre principal, la seconde à titre subsidiaire. La recourante perd de vue ses propres allégués sur l'extension de ses prestations et le principe de leur rémunération pour lesquels elle a offert le contrat litigieux à titre de preuve. A l'évidence, elle ne limitait pas la portée de ce « contrat de mandat général », selon son allégation, à celle d'un simple pouvoir de représentation. Ainsi, la validité ou la nullité ex tunc de ce titre aura une portée importante sur le sort du procès civil qui dépend de l'existence et de l'objet des rapports contractuels entre les parties. Quant au principe de célérité dont se prévaut la recourante, si on peut lui donner acte qu'elle a procédé avec diligence, il n'en demeure pas moins que l'indispensable vérification de l'authenticité du titre signé interviendra plus rapidement dans le cadre d'une procédure pénale en raison des moyens coercitifs d'investigation qu'elle offre que dans le cadre d'expertises ou de témoignages déployés dans le cadre de la procédure civile. En définitive, la suspension s'avère conforme à l'art. 126 CPC.</w:t>
      </w:r>
    </w:p>
    <w:p>
      <w:r>
        <w:rPr>
          <w:b/>
        </w:rPr>
        <w:t>E. 4</w:t>
      </w:r>
    </w:p>
    <w:p>
      <w:r>
        <w:t>Pour ces motifs, le recours, manifestement mal fondé (art. 322 al. 1 CPC), doit être rejeté. Les frais judiciaires de deuxième instance, arrêtés à 550 fr. (art. 69 al. 1 et 70 al. 1 TFJC [tarif des frais judiciaires civils du 28 septembre 2010 ; BLV 270.11.5]), seront mis à la charge de la recourante, qui succombe (art. 106 al. 1 CPC). L’intimé n’ayant pas été invité à se déterminer, il n’y a pas lieu de lui allouer de dépens pour la procédure de recours. Par ces motifs, la Chambre des recours civile du Tribunal cantonal, en application de l'art. 322 al. 1 CPC, prononce : I. Le recours est rejeté. II. Le prononcé est confirmé. III. Les frais judiciaires de deuxième instance, arrêtés à 550 fr. (cinq cent cinquante francs), sont mis à la charge de la recourante L.________ SA. IV. L'arrêt est exécutoire. Le président :               La greffière : Du L'arrêt qui précède, dont la rédaction est approuvée à huis clos, est notifié à : ‑ Me Hervé Dutoit (pour L.________ SA), ‑ Me Albert Habib (pour D.________). La Chambre des recours civile considère que la valeur litigieuse est de 24'951 fr. 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