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 vom 6. Januar 2022</w:t>
      </w:r>
    </w:p>
    <w:p>
      <w:r>
        <w:t>VD Tribunal cantonal, 2022-01-06, FR</w:t>
      </w:r>
    </w:p>
    <w:p>
      <w:r>
        <w:rPr>
          <w:b/>
        </w:rPr>
        <w:t xml:space="preserve">Quelle: </w:t>
      </w:r>
      <w:r>
        <w:t>https://mcp.opencaselaw.ch/entscheid/vd_findinfo_HC___2022___4</w:t>
      </w:r>
    </w:p>
    <w:p>
      <w:r>
        <w:t>FR: VD_FINDINFO HC / 2022 / 4 du 6 janvier 2022</w:t>
      </w:r>
    </w:p>
    <w:p>
      <w:r>
        <w:t>IT: VD_FINDINFO HC / 2022 / 4 del 6 gennaio 2022</w:t>
      </w:r>
    </w:p>
    <w:p>
      <w:pPr>
        <w:pStyle w:val="Heading2"/>
      </w:pPr>
      <w:r>
        <w:t>Regeste</w:t>
      </w:r>
    </w:p>
    <w:p>
      <w:r>
        <w:t>SUBROGATION DE LA COLLECTIVITÉ PUBLIQUE, AVANCE{EN GÉNÉRAL}, OBLIGATION D'ENTRETIEN, LÉGITIMATION ACTIVE ET PASSIVE | 289 al. 2 CC, 166 CO, 9 LRAPA</w:t>
      </w:r>
    </w:p>
    <w:p>
      <w:pPr>
        <w:pStyle w:val="Heading2"/>
      </w:pPr>
      <w:r>
        <w:t>Erwägungen</w:t>
      </w:r>
    </w:p>
    <w:p>
      <w:r>
        <w:rPr>
          <w:b/>
        </w:rPr>
        <w:t>E. 1</w:t>
      </w:r>
    </w:p>
    <w:p>
      <w:r>
        <w:t>CPC). L’appel est de la compétence d’un membre de la Cour d’appel civile statuant en qualité de juge unique (art. 84 al. 2 LOJV [loi d’organisation judiciaire du 12 décembre 1979 ; BLV 173.01]).</w:t>
      </w:r>
    </w:p>
    <w:p>
      <w:r>
        <w:rPr>
          <w:b/>
        </w:rPr>
        <w:t>E. 1.1</w:t>
      </w:r>
    </w:p>
    <w:p>
      <w:r>
        <w:t>L’appel est recevable contre les décisions de première instance sur les mesures provisionnelles (art. 308 al. 1 let. b CPC [Code de procédure civile du 19 décembre 2010 ; RS 272]), dans les causes dont la valeur litigieuse au dernier état des conclusions est de 10'000 fr. au moins (art. 308 al. 2 CPC). Les ordonnances de mesures provisionnelles étant régies par la procédure sommaire, selon l’art. 248 let. d CPC, le délai pour l’introduction de l’appel est de dix jours (art. 314 al.</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réf. cit.).</w:t>
      </w:r>
    </w:p>
    <w:p>
      <w:r>
        <w:rPr>
          <w:b/>
        </w:rPr>
        <w:t>E. 2.2</w:t>
      </w:r>
    </w:p>
    <w:p>
      <w:r>
        <w:t>La présente cause, qui concerne l’obligation d’entretien à l’égard d’un enfant mineur, est soumise à la maxime inquisitoire illimitée et à la maxime d’office, ce qui a pour conséquence que le juge établit les faits d’office et n’est pas lié par les conclusions des parents (art. 296 al. 1 et 3 CPC ; TF 5A_524/2017 du 9 octobre 2017 consid. 3.1 et 3.2),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 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(TF 5A_361/2011 du 7 décembre 2011 consid. 5.3).</w:t>
      </w:r>
    </w:p>
    <w:p>
      <w:r>
        <w:rPr>
          <w:b/>
        </w:rPr>
        <w:t>E. 3.1.1</w:t>
      </w:r>
    </w:p>
    <w:p>
      <w:r>
        <w:t>Selon les art. 131 al. 1 et 290 al. 1 CC, lorsque le débiteur néglige son obligation d’entretien à l’égard d’un époux ou d’un enfant, un office spécialisé désigné par le droit cantonal aide de manière adéquate, et en règle générale gratuitement, le créancier qui le demande à obtenir l’exécution des prestations d’entretien. En vertu de l’art. 131a CC, il appartient au droit public de régler le versement d’avances lorsque le débiteur ne satisfait pas à son obligation d’entretien (al. 1). La prétention à la contribution d’entretien passe avec tous les droits qui lui sont rattachés à la collectivité publique lorsque celle-ci assume l’entretien du créancier (al. 2). Aux termes de l’art. 176a CC, pour ce qui a trait aux mesures protectrices de l’union conjugale et aux mesures provisionnelles de divorce, les dispositions du droit du divorce et du droit des effets de la filiation relatives à l’aide au recouvrement et aux avances sont applicables. Si le principe de l’aide au recouvrement est exprimé par le droit fédéral, sa mise en œuvre est laissée aux cantons (art. 2 al. 1 de l’Ordonnance du 6 décembre 2019, en vigueur le 1 er janvier 2022, sur l’aide au recouvrement des créances d’entretien du droit de la famille, RS 211.214.32 ; Stoudmann, Le divorce en pratique, p. 423 et 424). Dans le canton de Vaud, l’art. 9 de loi du 10 février 2004 sur le recouvrement et les avances sur pensions alimentaires (BLV 850.36) dispose que l'Etat peut accorder au créancier d'aliments, enfant ou adulte, qui se trouve dans une situation économique difficile, des avances totales ou partielles sur les pensions courantes (al. 1) ; l'octroi d'avances au créancier d'aliments est subordonné à la cession à l'Etat de ses droits sur la pension future (al. 3) ; cette cession peut porter également sur les pensions échues dans les six mois antérieurs à l'acte de cession (al. 4). A l’instar de l’art. 131a CC, l'art. 289 al. 2 CC prévoit que la prétention à la contribution d'entretien passe avec tous les droits qui lui sont rattachés à la collectivité publique lorsque celle-ci assume l'entretien de l'enfant. Cette disposition crée un cas de subrogation légale au sens de l'art. 166 CO (TF 5A_399/2016 du 6 mars 2017 publié in ATF 143 III 177 consid. 6.3.1 ; ATF 123 III 161 consid. 4b et réf. cit. ; TF 5A_634/2013 du 12 mars 2014 consid. 4.1, publié in SJ 2014 I 389). La cession opérée de par la loi est opposable aux tiers sans aucune formalité et même indépendamment de toute manifestation de volonté de la part du précédent créancier (Probst, Commentaire romand, CO I, n. 5 ad art. 166 CO). La cession légale a les mêmes effets qu’une cession conventionnelle, c’est-à-dire qu’elle conduit à la substitution d’un créancier par un nouveau créancier et que, dès la notification, le débiteur est tenu de s’acquitter de sa dette en mains du nouveau créancier (cessionnaire). Par ailleurs, nonobstant le texte légal (« opposable aux tiers »), l’effet de la cession ne se limite pas au rapport avec les tiers mais vaut également inter partes (Probst, op. cit., n. 6-7 ad art. 166 CO). L'art. 289 al. 2 CC vise en particulier les prestations de l'assistance publique ou de l'aide sociale, y compris les avances. Il inclut aussi bien les prestations futures, dont il est établi qu'elles devront être avancées, que celles versées par le passé (ATF 143 III 177 consid. 6.3.2 ; ATF 137 III 193 consid. 3.6 ss, en particulier consid. 3.8 ; TF 5A_694/2019 du 24 février 2020 consid. 4.2.1 ; TF 5A_634/2013 du 12 mars 2014 précité consid. 4.1).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 ATF 137 III 193 consid. 2.1 ; ATF 123 III 161 consid. 4 précité ; ATF 106 III 18 consid. 2 et réf. cit. ; TF 5P.193/2003 du 23 juillet 2003 consid. 1.1.2). Il en découle que le débiteur d'une contribution d'entretien en faveur d'un enfant qui est assumée en tout ou partie par la collectivité publique doit agir en justice à la fois contre l'enfant, par son représentant légal, et contre la collectivité publique s'il entend réduire ou supprimer la contribution d'entretien mise à sa charge (ATF 143 III 177 consid. 6.3.3 ; TF 5A_847/2018 du 6 décembre 2019 consid. 4.1.2 ; TF 5A_634/2013 précité consid. 4.1 et réf. cit.), le Tribunal fédéral jugeant non arbitraire de considérer que le crédirentier et la collectivité publique forment une consorité nécessaire (TF 5A_694/2019 du 24 février 2020 consid. 4.3). Si le débiteur n’agit pas à la fois contre l’enfant, par son représentant légal, et contre la collectivité publique, le juge de la modification de la contribution ne peut inviter celle-ci à participer à la procédure, le Code de procédure civile ne prévoyant pas cette possibilité (ATF 143 III 177 consid. 6.3.5 ; TF 5A_694/2019 précité consid. 4.2.1 ; TF 5A_634/2013 précité consid. 4.2). Ainsi, dans l’action en réduction ou en suppression d’entretien, la collectivité publique a la légitimation passive à concurrence des avances fournies non seulement pour le passé, mais aussi pour les prestations futures, échues après l'introduction de la procédure de modification, dont il est établi qu’elles devront être avancées (ATF 143 III 177 consid. 6.3.3 ; TF 5A_694/2019 du 24 février 2020 consid. 4.2.1).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(TF 5A_634/2013 précité consid. 4.1). Ces principes valent également lorsque le demandeur n'a pas connaissance du fait que des avances ont été effectuées ni de leur quotité, car il doit compter que le créancier se soit fait avancer des contributions non payées ou lorsque les avances ont été effectuées durant la procédure avec effet rétroactif (TF 5A_847/2018 du 6 décembre 2019 consid. 4.1.3). Ainsi, il convient de réclamer l’intervention de la collectivité publique durant la procédure si on apprend la cession de droit en sa faveur après avoir introduit la demande (ATF 143 III 140 consid. 4.1.1 ; CACI 1 er avril 2019/175 consid. 4.3).</w:t>
      </w:r>
    </w:p>
    <w:p>
      <w:r>
        <w:rPr>
          <w:b/>
        </w:rPr>
        <w:t>E. 3.1.2</w:t>
      </w:r>
    </w:p>
    <w:p>
      <w:r>
        <w:t>En application de l’art. 70 CPC, il y a consorité matérielle nécessaire en vertu du droit fédéral lorsque plusieurs personnes sont ensemble titulaires (consorité active) ou le sujet passif (consorité passive) d'un seul droit, de sorte que chaque cotitulaire ne peut pas l'exercer seul ou être actionné seul en justice ( ATF 138 III 737 consid. 2 ; TF 5A_787/2020 du 7 juin 2021 consid. 5.2) . Sous réserve des exceptions qui ne sont pas données en l’espèce (cf. TF 4A_357/2016 du 8 novembre 2016 consid. 3.1.2), lorsque tous les consorts ne sont pas parties au procès, il en résulte un défaut de légitimation ayant pour conséquence le rejet de la demande, car infondée (TF 5A_787/2020 précité consid. 5.2).</w:t>
      </w:r>
    </w:p>
    <w:p>
      <w:r>
        <w:rPr>
          <w:b/>
        </w:rPr>
        <w:t>E. 3.2</w:t>
      </w:r>
    </w:p>
    <w:p>
      <w:r>
        <w:t>En l’espèce, il ressort déjà des pièces produites à l’appui de la requête d’assistance judiciaire produites en première instance que l’appelant était tenu de verser au BRAPA un montant de 3'260 fr. pour le mois de février 2019. Une cession de créance avait donc déjà été faite par l’intimée pour elle et l’enfant mineur avant cette date. En juillet 2019, l’appelant devait d’ailleurs 172'128 fr. 90 au BRAPA. Il ressort également du dossier d’assistance judiciaire que l’appelant a versé au BRAPA 2'100 fr. en mai 2021 et doit actuellement lui verser la somme de 2'020 fr., qui représente la pension alimentaire pour l’enfant à hauteur de 820 fr. et pour l’épouse à hauteur de 1'200 fr. fixée par l’ordonnance de mesures provisionnelles du 8 juillet 2019. Vu la cession opérée en faveur de l’Etat de Vaud, représenté par le BRAPA, dont l’appelant avait déjà connaissance fin 2019 au moins, celui-ci, déjà assisté en première instance et concluant à la libération de la pension pour l’épouse et à la réduction de la pension pour l’enfant, aurait dû ouvrir action le 15 décembre 2020, également contre le BRAPA, cessionnaire et consort nécessaire. Il aurait dû également diriger son appel contre le BRAPA. Faute d’avoir ouvert action, respectivement dirigé son appel contre le BRAPA, sa requête en modification, respectivement son appel, devait, respectivement doit être rejeté pour ce motif déjà.</w:t>
      </w:r>
    </w:p>
    <w:p>
      <w:r>
        <w:rPr>
          <w:b/>
        </w:rPr>
        <w:t>E. 4</w:t>
      </w:r>
    </w:p>
    <w:p>
      <w:r>
        <w:t>Au vu de ce qui précède, l’appel, manifestement mal fondé, doit être rejeté en application de l'art. 312 al. 1 CPC. L’appelant a requis l’assistance judiciaire pour la procédure de deuxième instance. Or sa cause était d’emblée dépourvue de toute chance de succès (art. 117 let. b CPC). La requête d’assistance judiciaire doit dès lors être rejetée. Les frais judiciaires de deuxième instance, arrêtés à 800 fr., soit 600 fr. pour l’émolument forfaitaire de décision (art. 65 al. 2 TFJC [tarif des frais judiciaires civils du 28 septembre 2010 ; BLV 270.11.5]) et 200 fr. pour l’ordonnance d’effet suspensif (art. 7 al. 1 et 60 TFJC par analogie), doivent être supportés par l’appelant, qui succombe (art. 106 al. 1 CPC). L’intimée n’ayant pas été invitée à se déterminer sur cet appel, il n’y a pas lieu à l’allocation de dépens. Par ces motifs, la juge déléguée de la Cour d’appel civile prononce : I. L’appel est rejeté. II. La requête d’assistance judiciaire est rejetée. III. Les frais judiciaires de deuxième instance, arrêtés à 800 fr. (huit cents francs), sont mis à la charge de l’appelant A.J.________. IV. L’arrêt est exécutoire. La juge déléguée : La greffière : Du Le présent arrêt, dont la rédaction a été approuvée à huis clos, est notifié en expédition complète à : ‑ Me Véronique Fontana, avocate (pour A.J.________) ‑ Me Dominique-Anne Kirchhofer, avocate (pour B.J.________) et communiqué, par l'envoi de photocopies, à : ‑ M. le Président du Tribunal civil de l’arrondissement de La Côte La juge déléguée de la Cour d’appel civile considère que la valeur litigieuse est supérieure à 30'000 fr.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