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334 vom 12. April 2022</w:t>
      </w:r>
    </w:p>
    <w:p>
      <w:r>
        <w:t>VD Tribunal cantonal, 2022-04-12, FR</w:t>
      </w:r>
    </w:p>
    <w:p>
      <w:r>
        <w:rPr>
          <w:b/>
        </w:rPr>
        <w:t xml:space="preserve">Quelle: </w:t>
      </w:r>
      <w:r>
        <w:t>https://mcp.opencaselaw.ch/entscheid/vd_findinfo_HC___2022___334</w:t>
      </w:r>
    </w:p>
    <w:p>
      <w:r>
        <w:t>FR: VD_FINDINFO HC / 2022 / 334 du 12 avril 2022</w:t>
      </w:r>
    </w:p>
    <w:p>
      <w:r>
        <w:t>IT: VD_FINDINFO HC / 2022 / 334 del 12 aprile 2022</w:t>
      </w:r>
    </w:p>
    <w:p>
      <w:pPr>
        <w:pStyle w:val="Heading2"/>
      </w:pPr>
      <w:r>
        <w:t>Regeste</w:t>
      </w:r>
    </w:p>
    <w:p>
      <w:r>
        <w:t>NOUVEAU MOYEN DE FAIT, DOMMAGE IRRÉPARABLE, DÉCISION D'IRRECEVABILITÉ | 229 CPC (CH), 319 let. b ch. 2 CPC (CH)</w:t>
      </w:r>
    </w:p>
    <w:p>
      <w:pPr>
        <w:pStyle w:val="Heading2"/>
      </w:pPr>
      <w:r>
        <w:t>Erwägungen</w:t>
      </w:r>
    </w:p>
    <w:p>
      <w:r>
        <w:rPr>
          <w:b/>
        </w:rPr>
        <w:t>E. 5</w:t>
      </w:r>
    </w:p>
    <w:p>
      <w:r>
        <w:t>En définitive, les recours doivent être déclarés irrecevables selon l’art. 322 al. 1 CPC. Le présent arrêt pouvant être rendu avant l’expiration du délai imparti dans le prononcé querellé, la requête d’effet suspensif est sans objet. L’arrêt peut être rendu sans frais judiciaires de deuxième instance (art. 11 TFJC [tarif des frais judiciaires civils du 28 septembre 2010 ; BLV 270.11.5]). Il n’y a pas lieu à l’allocation de dépens de deuxième instance, les intimés n’ayant pas été invités à se déterminer. Par ces motifs, la Chambre des recours civile du Tribunal cantonal, en application de l’art. 322 al. 1 CPC, prononce : I. Les recours sont joints. II. Le recours d’A.I.________, B.I.________ et G.________ est irrecevable. III. Le recours d’Y.________ est irrecevable. IV. La requête d’effet suspensif présentée par la recourante Y.________ est sans objet. V. L’arrêt, rendu sans frais, est exécutoire. Le président :               Le greffier : Du L’arrêt qui précède, dont la rédaction a été approuvée à huis clos, est notifié à : ‑ Me Léonard Bruchez, avocat (pour Y.________), ‑ Me Matthias Keller, avocat (pour A.I.________, B.I.________ et G.________), - Me Luc Pittet, avocat (pour [...], [...] et [...]), - Me Yves Nicole, avocat (pour [...]), - Me Pauline Borlat, avocate (pour Jean-Jacques de Luze).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