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32 vom 23. Dezember 2021</w:t>
      </w:r>
    </w:p>
    <w:p>
      <w:r>
        <w:t>VD Tribunal cantonal, 2021-12-23, FR</w:t>
      </w:r>
    </w:p>
    <w:p>
      <w:r>
        <w:rPr>
          <w:b/>
        </w:rPr>
        <w:t xml:space="preserve">Quelle: </w:t>
      </w:r>
      <w:r>
        <w:t>https://mcp.opencaselaw.ch/entscheid/vd_findinfo_HC___2022___32</w:t>
      </w:r>
    </w:p>
    <w:p>
      <w:r>
        <w:t>FR: VD_FINDINFO HC / 2022 / 32 du 23 décembre 2021</w:t>
      </w:r>
    </w:p>
    <w:p>
      <w:r>
        <w:t>IT: VD_FINDINFO HC / 2022 / 32 del 23 dicembre 2021</w:t>
      </w:r>
    </w:p>
    <w:p>
      <w:pPr>
        <w:pStyle w:val="Heading2"/>
      </w:pPr>
      <w:r>
        <w:t>Regeste</w:t>
      </w:r>
    </w:p>
    <w:p>
      <w:r>
        <w:t>AVANCE DE FRAIS, BAIL À LOYER, LOCAL PROFESSIONNEL, VALEUR LITIGIEUSE, PRESTATION PÉRIODIQUE, CONTRAT DE DURÉE INDÉTERMINÉE | 25 TFJC, 92 al. 2 CPC (CH)</w:t>
      </w:r>
    </w:p>
    <w:p>
      <w:pPr>
        <w:pStyle w:val="Heading2"/>
      </w:pPr>
      <w:r>
        <w:t>Erwägungen</w:t>
      </w:r>
    </w:p>
    <w:p>
      <w:r>
        <w:rPr>
          <w:b/>
        </w:rPr>
        <w:t>E. 1.1</w:t>
      </w:r>
    </w:p>
    <w:p>
      <w:r>
        <w:t>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Commentaire romand, Code de procédure civile,</w:t>
      </w:r>
    </w:p>
    <w:p>
      <w:r>
        <w:rPr>
          <w:b/>
        </w:rPr>
        <w:t>E. 1.2</w:t>
      </w:r>
    </w:p>
    <w:p>
      <w:r>
        <w:t>En l’espèce, interjeté en temps utile par une partie qui a un intérêt digne de protection (art. 59 al. 2 let. a CPC), le recours, écrit et motivé (art. 321 al. 1 CPC), est recevable. On précisera que les pièces produites par la recourante sont recevables dès lors qu’il s’agit de pièces dites de forme, respectivement qu’elles figurent déjà au dossier de première instance.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3.1</w:t>
      </w:r>
    </w:p>
    <w:p>
      <w:r>
        <w:t>La recourante fait valoir que la valeur litigieuse de la procédure de contestation du loyer initial serait de 540'000 fr., à savoir la différence du montant du loyer mensuel de 4'500 fr. (loyer initial de 16'500 fr. devant être ramené à 12'000 fr.) à raison de douze loyers annuels durant un bail de dix ans (4'500 fr. x 12 mois x 10 ans). Sur cette base, l’avance de frais aurait dû selon elle être fixée à 6'600 fr. conformément à l’art. 25 al. 1 in fine TFJC (Tarif des frais judiciaires civils du 28 septembre 2010 ; BLV 270.11.5), qui prévoit que l’émolument forfaitaire de décision pour une contestation en procédure simplifiée devant le Tribunal des baux en matière de bail commercial, lorsque la valeur litigieuse est de 500'001 fr. et plus, s’élève à 6'000 fr. plus 1.5% de la valeur litigieuse dépassant 500'000 francs. La fiche d’ouverture du dossier référencé XA21.049343, telle que complétée par l’autorité précédente, fait état d’une valeur litigieuse de 1'080'000 fr. et d’une avance de frais de 11'760 francs. Une note manuscrite figurant sur ce document permet de comprendre que cette valeur litigieuse a été calculée comme il suit : 4'500 fr. de différence de loyer mensuel x 12 mois x 20 ans. L’avance de frais a été déterminée en application de l’art. 25 al. 1 in fine TFJC à raison de 6'000 fr. d’émolument de base, majoré de 8'700 fr. ([1'080'000 fr. - 500'000 fr.] x 1.5%). Dans une dernière étape, l’autorité précédente a fixé l’avance de frais à 11'760 fr. en réduisant d’un cinquième le montant de 14'700 fr. (6'000 fr. + 8'700 fr.) précédemment obtenu, en application de l’art. 25 al. 3 TFJC qui dispose que dans les contestations relevant des chapitres II et III du Titre huitième du Code des obligations – soit notamment la protection contre les loyers abusifs –, l’émolument est réduit d'un cinquième, sauf à l’égard de la partie téméraire.</w:t>
      </w:r>
    </w:p>
    <w:p>
      <w:r>
        <w:rPr>
          <w:b/>
        </w:rPr>
        <w:t>E. 3.2</w:t>
      </w:r>
    </w:p>
    <w:p>
      <w:r>
        <w:t>La valeur du litige est déterminée par les conclusions ; les intérêts et les frais de la procédure en cours ou d’une éventuelle publication de la décision et, le cas échéant, la valeur résultant des conclusions subsidiaires ne sont pas pris en compte (art. 91 CPC). Selon l’art. 92 CPC, les revenus et prestations périodiques ont la valeur du capital qu’ils représentent (al. 1) ; si la durée des revenus et prestations périodiques est indéterminée ou illimitée, le capital est constitué du montant annuel du revenu ou de la prestation multiplié par vingt (al. 2). En droit du bail, la valeur litigieuse des litiges portant sur la protection contre les loyers pour des baux de durée indéterminée se détermine selon l’art. 92 al. 2 CPC (TF 4A_677/2011 du 9 février 2012 consid. 1 : hausse de loyer ; TF 4A_136/2011 du 10 juin 2011 consid. 1, non publié à l’ATF 137 III 562 : frais accessoires). Dans le cadre de contrats de durée indéterminée, le bail lui-même est susceptible de durer plus de vingt ans, ce qui justifie sans autres de faire usage de l’art. 92 al. 2 CPC pour le calcul de la valeur litigieuse d’une action en contestation d’une hausse ou d’une action en baisse de loyer (ATF 137 III 362 consid. 1 ; ATF 121 III 397 consid. 1 ; ATF 119 II 147 consid. 1).</w:t>
      </w:r>
    </w:p>
    <w:p>
      <w:r>
        <w:rPr>
          <w:b/>
        </w:rPr>
        <w:t>E. 3.3</w:t>
      </w:r>
    </w:p>
    <w:p>
      <w:r>
        <w:t>En l’espèce, le contrat de bail liant les parties, débutant le 1 er mars 2019 et se terminant le 28 février 2029 – soit une période initiale de dix ans –, prévoit qu’il se renouvellera aux mêmes conditions pour cinq ans, soit du 1 er mars 2029 au 28 février 2034, sauf avis de résiliation de l’une ou l’autre partie donné et reçu au moins une année à l’avance pour la prochaine échéance, et ainsi de suite de cinq ans en cinq ans. Il s’agit ainsi d’un bail de durée indéterminée puisque les parties ont prévu une échéance à l’issue d’une première période de dix ans, mais ont stipulé que pour cette échéance, l’un ou l’autre des contractants pouvait donner un congé – ordinaire – et qu’à défaut, le contrat était prolongé pour une nouvelle période prédéfinie (bail congéable ou à durée indéterminée improprement dit ; cf. Lachat et al., Le bail à loyer, Lausanne 2019, p. 66 n. 1.5.2 et p. 849 n. 1.2). On rappellera à cet égard que l’art. 255 CO dispose que le bail est de durée déterminée lorsqu’il doit prendre fin, sans congé, à l’expiration de la durée convenue (al. 2) et que les autres baux sont réputés conclus pour une durée indéterminée (al. 3). Dans la mesure où le bail litigieux est de durée indéterminée, la prestation périodique revendiquée par la recourante, à savoir le remboursement des parts de loyers payées en trop à raison de 4'500 fr. par mois, est également d’une durée indéterminée. Il s’ensuit que l’autorité précédente était fondée à prendre en considération une valeur litigieuse calculée sur vingt ans conformément à l’art. 92 al. 2 CPC, pour aboutir à un montant de 1'080'000 francs. Partant, le calcul de l’avance de frais opéré conformément à l’art. 25 al. 1 in fine et 3 TFJC est correct et doit être confirmé.</w:t>
      </w:r>
    </w:p>
    <w:p>
      <w:r>
        <w:rPr>
          <w:b/>
        </w:rPr>
        <w:t>E. 4.1</w:t>
      </w:r>
    </w:p>
    <w:p>
      <w:r>
        <w:t>En définitive, le recours, manifestement mal fondé, doit être rejeté et la décision confirmée, sous réserve du délai imparti pour opérer l’avance de frais qui devra être refixé d’office.</w:t>
      </w:r>
    </w:p>
    <w:p>
      <w:r>
        <w:rPr>
          <w:b/>
        </w:rPr>
        <w:t>E. 4.2</w:t>
      </w:r>
    </w:p>
    <w:p>
      <w:r>
        <w:t>Vu l’issue du recours, les frais judiciaires de deuxième instance, arrêtés à 400 fr. (art. 69 TFJC), seront mis à la charge de la recourante (art. 106 al. 1 CPC). Par ces motifs, la Chambre des recours civile du Tribunal cantonal, en application de l’art. 322 al. 1 CPC, prononce : I. Le recours est rejeté. II. La décision est confirmée, sous réserve du délai imparti pour opérer l’avance de frais qui devra être refixé d’office. III. Les frais judiciaires de deuxième instance, arrêtés à 400 fr. (quatre cents francs), sont mis à la charge de la recourante Q.________ Sàrl. IV. L’arrêt est exécutoire. Le président :               Le greffier : Du L'arrêt qui précède, dont la rédaction a été approuvée à huis clos, est notifié à : ‑ Me Pierre Ochsner (pour Q.________ Sàrl).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