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310 vom 8. April 2022</w:t>
      </w:r>
    </w:p>
    <w:p>
      <w:r>
        <w:t>VD Tribunal cantonal, 2022-04-08, FR</w:t>
      </w:r>
    </w:p>
    <w:p>
      <w:r>
        <w:rPr>
          <w:b/>
        </w:rPr>
        <w:t xml:space="preserve">Quelle: </w:t>
      </w:r>
      <w:r>
        <w:t>https://mcp.opencaselaw.ch/entscheid/vd_findinfo_HC___2022___310</w:t>
      </w:r>
    </w:p>
    <w:p>
      <w:r>
        <w:t>FR: VD_FINDINFO HC / 2022 / 310 du 8 avril 2022</w:t>
      </w:r>
    </w:p>
    <w:p>
      <w:r>
        <w:t>IT: VD_FINDINFO HC / 2022 / 310 del 8 aprile 2022</w:t>
      </w:r>
    </w:p>
    <w:p>
      <w:pPr>
        <w:pStyle w:val="Heading2"/>
      </w:pPr>
      <w:r>
        <w:t>Regeste</w:t>
      </w:r>
    </w:p>
    <w:p>
      <w:r>
        <w:t>ACTION EN MODIFICATION, DIVORCE, MESURE PRÉPROVISIONNELLE, ENFANT, RELATIONS PERSONNELLES | 273 al. 1 CC</w:t>
      </w:r>
    </w:p>
    <w:p>
      <w:pPr>
        <w:pStyle w:val="Heading2"/>
      </w:pPr>
      <w:r>
        <w:t>Erwägungen</w:t>
      </w:r>
    </w:p>
    <w:p>
      <w:r>
        <w:rPr>
          <w:b/>
        </w:rPr>
        <w:t>E. 1.1.1</w:t>
      </w:r>
    </w:p>
    <w:p>
      <w:r>
        <w:t>L’appel est recevable contre les décisions de première instance sur les mesures provisionnelles (art. 308 al. 1 let. b CPC [Code de procédure civile du 19 décembre 2010 ; RS 272]), dans les causes non patrimoniales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 TF 5A_356/2020 du 9 juillet 2020 consid. 3.2 ; TF 4A_218/2017 du 14 juillet 2017 consid. 3.1.2 ; TF 4A_290/2014 du 1 er septembre 2014 consid. 3.1, publié in RSPC 2015 p. 52).</w:t>
      </w:r>
    </w:p>
    <w:p>
      <w:r>
        <w:rPr>
          <w:b/>
        </w:rPr>
        <w:t>E. 1.2</w:t>
      </w:r>
    </w:p>
    <w:p>
      <w:r>
        <w:t>En l’espèce, l’appel, dirigé contre une ordonnance de mesures provisionnelles et portant sur une cause non patrimoniale, a été formé en temps utile par une partie qui dispose d’un intérêt digne de protection (art. 59 al. 2 let. a CPC). On constate que l’appelante conclut en deuxième instance à ce que l’ordonnance soit « annulée et réformée en ce sens qu’aucune mesure n’est prise à titre provisionnel » , ce qui équivaut à une mise à néant de tous les chiffres du dispositif de l’ordonnance. Elle précise toutefois en préambule de son mémoire qu’elle fait appel des chiffre II, III, IV, V, VI, VII et XI du dispositif de l’ordonnance, soit les points de la décision qui concernent l’enfant L.________. En outre, elle ne développe des moyens qu’en lien avec l’enfant L.________ et les mesures ordonnées à son égard, sans faire mention de l’enfant O.________. Dans ces conditions, et dans la mesure où les conclusions doivent être interprétées à la lumière de la motivation de l’appel (ATF 137 III 617 consid. 6.2, JdT 2014 II 187 ; TF 5A_164/2019 du 20 mai 2020 consid. 4.3, non publié à l’ATF 146 III 203 ; TF 5A_165/2016 du 11 octobre 2016 consid. 3.4.2), il se justifie de considérer que les conclusions en réforme prises par l’appelante visent à la suppression des chiffre II, III, IV, V, VI, VII et XI du dispositif de l’ordonnance. L’appel est ainsi recevable, sous réserve de ce qui sera relevé ci-après (cf. infra consid. 3.3).</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Si l'instance d'appel applique le droit d'office, elle le fait uniquement sur les points du jugement qui ont fait l'objet d'une motivation suffisante et, partant, recevable, et non sur les points insuffisamment motivés (TF 4A_290/2014 du 1 er septembre 2014 consid. 5) ; cela vaut également lorsque la maxime d'office est applicable (TF 5A_512/2020 du 7 décembre 2020 consid. 3.3.1).</w:t>
      </w:r>
    </w:p>
    <w:p>
      <w:r>
        <w:rPr>
          <w:b/>
        </w:rPr>
        <w:t>E. 2.2</w:t>
      </w:r>
    </w:p>
    <w:p>
      <w:r>
        <w:t>Dans le cadre de mesures provisionnelles, le juge statue en application de la procédure sommaire (art. 271 let. a CPC) et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En ce qui concerne les questions relatives aux enfants, l'art. 296 al. 3 CPC impose la maxime d'office (TF 5A_608/2014 du 16 décembre 2014 consid. 4.2.1 ; Juge délégué CACI 20 février 2015/136 consid. 3 ; Tappy, Commentaire romand, Code de procédure civile, 2 e éd., Bâle 2019, n. 6 ad art. 272 CPC ; Bohnet, op. cit., nn. 29 s. ad art. 276 CPC) ; dans ce cadre, le juge ordonne les mesures nécessaires sans être lié par les conclusions des parties et même en l'absence de conclusions (ATF 128 III 411 consid. 3.1 et les références citées).</w:t>
      </w:r>
    </w:p>
    <w:p>
      <w:r>
        <w:rPr>
          <w:b/>
        </w:rPr>
        <w:t>E. 3.1</w:t>
      </w:r>
    </w:p>
    <w:p>
      <w:r>
        <w:t>L’appelante fait grief au premier juge d’avoir mis en place des mesures en vue de la reprise des relations personnelles entre l’intimé et l’enfant L.________. Elle soutient que l’intimé n’aurait pas l’intention de s’installer durablement en Suisse et qu’il serait extrêmement vraisemblable qu’il retourne s’occuper de sa famille au [...], délaissant une fois encore les enfants des parties, en particulier L.________ qui aurait beaucoup souffert de l’absence de son père. Elle relève en substance que les documents produits par l’intimé pour démontrer ses liens avec la Suisse seraient insuffisamment probants. L’appelante prétend en outre que l’intimé aurait déjà prouvé que sa volonté de renouer des liens avec L.________ ne serait pas aussi claire et sincère que ce qu’il prétend. Il serait ainsi contre-indiqué d’imposer à l’enfant un suivi thérapeutique dans le but de renouer des liens avec un père qui n’aurait pas donné les garanties nécessaires quant à son investissement dans ce processus. L’appelante relève à cet égard que la représentante de la DGEJ aurait indiqué que l’intimé n’avait pas démontré son engagement à intégrer un processus de reprise des liens avec L.________ et aurait souligné son inquiétude quant au fait que l’enfant parte de l’idée que les contacts allaient reprendre et que cela ne se fasse finalement pas.</w:t>
      </w:r>
    </w:p>
    <w:p>
      <w:r>
        <w:rPr>
          <w:b/>
        </w:rPr>
        <w:t>E. 3.2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il est cependant également considéré comme un droit de la personnalité de l'enfant qui doit servir en premier lieu l'intérêt de celui-ci (TF 5A_699/2021 du 21 décembre 2021 consid. 6.1 et les références citées ; TF 5A_238/2020 du 28 juillet 2020 consid. 3.1 ; TF 5A_478/2018 du 10 août 2018 consid. 5.2.1), les intérêts des parents devant être relégués au second plan (ATF 142 III 617 consid. 3.2.3 ; TF 5A_669/2020 du 25 mars 2021 consid. 3.1.1 ; TF 5A_369/2018 du 14 août 2018 consid. 4.1). A cet égard, il est unanimement reconnu que le rapport de l'enfant avec ses deux parents est essentiel et qu'il peut jouer un rôle décisif dans le processus de recherche d'identité de l'enfant (ATF 142 III 481 consid. 2.8, JdT 2016 II 427 ; TF 5A_478/2018 précité consid. 5.2.1 et les références citées). Le maintien et le développement de ce lien étant évidemment bénéfique pour l'enfant, les relations personnelles doivent donc être privilégiées, sauf si le bien de l'enfant est mis en danger (ATF 142 III 1 consid. 3.4). Du point de vue du bien de l'enfant, chacun des deux parents a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 Juge délégué CACI 12 octobre 2020/436 consid. 3.2).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ATF 127 III 295 consid. 4a ; TF 5A_360/2018 du 4 décembre 2018 consid. 5.1 ; TF 5A_246/2015 du 28 août 2015 consid. 3.1).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et de l'éloignement géographique des domiciles (Juge délégué CACI 21 décembre 2021/436 consid. 3.2 ; Meier/Stettler, Droit de la filiation, 6 e éd., Zurich 2019, nn. 984-985, pp. 635-636. et les références citées). Des conditions particulières pour l'exercice du droit de visite peuvent en outre être imposées (Hegnauer, Droit suisse de la filiation, 4 e éd., Berne 1998, n. 19.16, p. 114).</w:t>
      </w:r>
    </w:p>
    <w:p>
      <w:r>
        <w:rPr>
          <w:b/>
        </w:rPr>
        <w:t>E. 3.3</w:t>
      </w:r>
    </w:p>
    <w:p>
      <w:r>
        <w:t>En l’espèce, un mandat d’évaluation a été confié à la DGEJ, notamment pour faire toute proposition quant aux modalités d’exercice du droit aux relations personnelles du parent non-gardien. Dans son rapport du 30 juin 2021, la DGEJ a conclu, s’agissant de l’enfant L.________, à ce qu’un suivi pédopsychiatrique soit ordonné dans les plus brefs délais pour celle-ci et à la fixation d’un droit de visite entre l’enfant et son père dans ce cadre thérapeutique, à condition que l’intimé puisse assurer de son engagement et d’une situation stable. Il ressort de ce rapport que les enfants ont manifesté leur « non-volonté » d’entretenir des relations personnelles avec leur père, qui les avait déçus en raison de son absence, notamment lors de moments importants. La DGEJ a néanmoins relevé qu’il fallait différencier les avis exprimés par les enfants des parties. Si M.________ et O.________ étaient en âge d’exprimer leur volonté, de comprendre la situation et de prendre leurs propres décisions, L.________ semblait quant à elle très impactée par la situation et devait pouvoir bénéficier d’un suivi pédopsychiatrique afin qu’elle puisse profiter d’un espace pour exprimer ce qu’elle ressent. La DGEJ a dès lors suggéré qu’un droit de visite entre L.________ et l’intimé soit envisagé dans ce cadre thérapeutique. Lors de son audition du 25 novembre 2021, R.________, représentante de la DGEJ en charge du dossier, a précisé qu’elle avait recommandé un suivi pédopsychiatrique pour L.________ car elle grandissait depuis plusieurs années sans contact avec son père, ce qui était difficile pour elle, si bien qu’il était nécessaire que sa souffrance soit entendue et évaluée. Elle a répondu par l’affirmative à la question de savoir si cela ferait du sens de commencer par mettre en place un suivi pédopsychiatrique pour L.________ afin de recueillir son ressenti par rapport à la situation actuelle, avant d'ordonner la reprise des relations personnelles entre le père et l'enfant. Son inquiétude par rapport à L.________ était en substance qu’une reprise des contacts s’amorce, ou que l’enfant soit mise dans l’idée que cela pourrait se faire, et que cela reste finalement sans suite. R.________ a en particulier relevé qu’il faudrait s’assurer que l’intimé soit en Suisse, sans que des allers-retours au [...] ne posent toutefois un problème, et qu’il puisse investir le droit de visite. Elle a précisé que si l’intimé n’avait jusqu’alors pas démontré son engagement à intégrer un processus, il fallait réfléchir sur le long terme, l’important étant surtout d’assurer une stabilité et une régularité des contacts, et non leurs quantité et intensité. Après avoir retenu qu’il existait des indices d’une vie divisée de l’intimé entre la Suisse et le [...], sans que le fait de faire des allers-retours entre ces pays ne pose de problème en soi, et avoir rappelé que le rapport d’un enfant avec ses deux parents était essentiel, le premier juge a considéré qu’un processus de reprise des relations personnelles entre l’intimé et L.________ ne pouvait pas s’envisager sans prendre toutes les précautions utiles dès lors qu’il fallait tenir compte des souffrances de L.________ quant à l’absence de contact avec son père, de l’importance d’un investissement régulier et durable de l’intimé dans la reprise des relations avec celle-ci et du fait que l’intimé, qui avait fait preuve d’un manque de collaboration au cours de l’évaluation de la DGEJ, n’avait pas démontré de manière extrêmement convaincante sa volonté de s’investir dans la reprise des contacts avec ses enfants en Suisse. Il s’est ainsi rallié à la proposition de la DGEJ tendant à ce qu’un suivi thérapeutique soit mis en place pour cette enfant, afin qu’un professionnel puisse recueillir le ressenti de celle-ci vis-à-vis de son père, notamment en lien avec les souffrances endurées du fait de son absence, lui permettre de s’exprimer librement sans la présence de ses parents, examiner l’opportunité de la reprise des liens entre L.________ et l’intimé, en particulier les conséquences qu’impliquerait cette reprise sur son bien-être et son développement, et accompagner l’enfant dans l’ensemble du processus. Or, dans son appel, l’appelante ne remet pas en cause cet aspect de la motivation de l’ordonnance. Elle se contente en effet de soutenir que la décision de l’autorité précédente irait à l’encontre des recommandations de la DGEJ, en citant des extraits tronqués des déclarations de R.________ et en omettant de faire état des passages de celles-ci sur lesquels le premier juge s’est fondé. En outre, en soutenant en deuxième instance que les pièces produites par l’intimé pour établir ses liens avec la Suisse ne seraient pas probantes, que l’intéressé n’aurait pas démontré son engagement à intégrer un processus de reprise des relations personnelles, qu’il n’offrirait pas les garanties nécessaires pour une reprise des contacts et que la DGEJ aurait souligné son inquiétude quant à une reprise des contacts finalement interrompue, l’appelante se borne en réalité à répéter les moyens qu’elle avait déjà développé en première instance dans son mémoire de droit du 25 janvier 2022. Dans ces conditions, on peut douter de la recevabilité de l’appel au regard des exigences de motivation de l’art. 311 al. 1 CPC rappelées ci-dessus (cf. supra consid. 1.1.2). Cela étant, l’appelante ne parvient pas, par la simple répétition de ses arguments, sans aborder la recommandation de la DGEJ tendant à la mise en place d’un suivi pédopsychiatrique de L.________ pour recueillir son ressenti par rapport à son père et la situation actuelle avant d’ordonner une reprise des relations personnelle entre l’intimé et l’enfant, à remettre en cause l’appréciation de l’autorité précédente, conforme à ladite recommandation, quoi qu’en dise l’intéressée. Il ne faut en effet pas perdre de vue que la DGEJ a souligné qu’il était important que la souffrance de L.________ et son ressenti vis-à-vis de l’absence de son père puissent être entendus et évalués par un thérapeute. A cela s’ajoute que ce suivi thérapeutique constitue une étape préalable et qu’un droit de visite ne pourra le cas échéant être mis en place, sur la base d’une nouvelle décision, que si le professionnel concerné le juge opportun, celui-ci ayant été invité à faire toute suggestion à cet égard et à déposer un rapport sur l’ensemble de la situation dans un délai d’ores et déjà fixé. De plus, les premiers contacts entre le père et l’enfant ne se feront, dans ce cadre thérapeutique, qu’après que le professionnel concerné aura examiné l’opportunité de la reprise des liens. Compte tenu de la situation de l’enfant L.________, qui a vécu de nombreuses années sans son père et en a souffert, la mise en place de cet espace thérapeutique pour, dans un premier temps, entendre et évaluer son ressenti par rapport à la situation, puis, dans un second temps et si le professionnel concerné le juge opportun, amorcer dans ce cadre une reprise des contacts avec son père est conforme au bien de l’enfant. Enfin, les craintes de l’appelante quant aux conséquences néfastes que pourrait avoir sur L.________ un manque d’investissement de l’intimé dans ce processus doivent être relativisées par le fait que la reprise des contacts sera organisée dans un cadre thérapeutique qui offrira à l’enfant un soutien et un accompagnement par des professionnels. On relèvera enfin que l’appelante ne consacre aucun développement spécifique pour mettre en cause le raisonnement de l’autorité précédente quant à l’institution d’une curatelle de surveillance des relations personnelles à forme de l’art. 308 al. 2 CC en faveur de L.________, faillant ainsi à nouveau à son devoir de motivation de l’appel sur ce point qui doit être confirmé faute de grief valablement formulé.</w:t>
      </w:r>
    </w:p>
    <w:p>
      <w:r>
        <w:rPr>
          <w:b/>
        </w:rPr>
        <w:t>E. 4</w:t>
      </w:r>
    </w:p>
    <w:p>
      <w:r>
        <w:t>Une personne a droit à l’assistance judiciaire si elle ne dispose pas de ressources suffisantes et si sa cause ne paraît pas dépourvue de toute chance de succès (art. 117 CPC). En l’occurrence, l’appelante n’oppose aucun argument substantiel à l’ordonnance entreprise et son appel est pour partie irrecevable, si bien qu’il n’existait aucune chance d’admission, même partielle, de ses conclusions en deuxième instance lors du dépôt de son mémoire. La requête d’assistance judiciaire doit par conséquent être rejetée.</w:t>
      </w:r>
    </w:p>
    <w:p>
      <w:r>
        <w:rPr>
          <w:b/>
        </w:rPr>
        <w:t>E. 5.1</w:t>
      </w:r>
    </w:p>
    <w:p>
      <w:r>
        <w:t>En définitive, l’appel, manifestement mal fondé, doit être rejeté dans la mesure où il est recevable et l’ordonnance confirmée. L’appel étant tranché sur le fond, la requête d’effet suspensif présentée par l’appelante est sans objet. On observe toutefois qu’une admission de cette requête aurait eu pour effet de suspendre le caractère exécutoire des chiffres II à VIII de l’ordonnance et de maintenir la règlementation des relations personnelles entre l’intimé et L.________ précédemment en vigueur, soit le libre et large droit de visite à exercer d’entente entre les parties, respectivement le droit de visite usuel prévu par le jugement de divorce du 3 mars 2015, ce qui aurait clairement été à l’encontre des recommandations de la DGEJ et de l’intérêt de l’enfant.</w:t>
      </w:r>
    </w:p>
    <w:p>
      <w:r>
        <w:rPr>
          <w:b/>
        </w:rPr>
        <w:t>E. 5.2</w:t>
      </w:r>
    </w:p>
    <w:p>
      <w:r>
        <w:t>Vu l’issue de l’appel, les frais judiciaires de deuxième instance, arrêtés à 600 fr. (art. 65 al. 2 TFJC [Tarif des frais judiciaires civils du 28 septembre 2010 ; BLV 270.11.5]), seront mis à la charge de l’appelante (art. 106 al. 1 CPC). Il n’y a pas lieu à l’allocation de dépens de deuxième instance dès lors que l’intimé n’a pas été invité à déposer une réponse (art. 312 al. 1 in fine CPC). Il n’a pas davantage été invité à se déterminer sur la requête d’effet suspensif, si bien qu’il ne saurait prétendre à des dépens pour ses écritures spontanées y relatives. Par ces motifs, le Juge délégué de la Cour d’appel civile prononce : I. L’appel est rejeté dans la mesure où il est recevable. II. L’ordonnance est confirmée. III. La requête d’effet suspensif est sans objet. IV. La requête d’assistance judiciaire est rejetée. V. Les frais judiciaires de deuxième instance, arrêtés à 600 fr. (six cents francs), sont mis à la charge de l’appelante A.G.________. VI. Il n’est pas alloué de dépens de deuxième instance. VII. L’arrêt est exécutoire. Le juge délégué : Le greffier : Du Le présent arrêt, dont la rédaction a été approuvée à huis clos, est notifié en expédition complète à : ‑ Me Georges Reymond (pour A.G.________), ‑ Me Patrick Guy Dubois (pour B.G.________),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