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308 vom 31. Mai 2022</w:t>
      </w:r>
    </w:p>
    <w:p>
      <w:r>
        <w:t>VD Tribunal cantonal, 2022-05-31, FR</w:t>
      </w:r>
    </w:p>
    <w:p>
      <w:r>
        <w:rPr>
          <w:b/>
        </w:rPr>
        <w:t xml:space="preserve">Quelle: </w:t>
      </w:r>
      <w:r>
        <w:t>https://mcp.opencaselaw.ch/entscheid/vd_findinfo_HC___2022___308</w:t>
      </w:r>
    </w:p>
    <w:p>
      <w:r>
        <w:t>FR: VD_FINDINFO HC / 2022 / 308 du 31 mai 2022</w:t>
      </w:r>
    </w:p>
    <w:p>
      <w:r>
        <w:t>IT: VD_FINDINFO HC / 2022 / 308 del 31 maggio 2022</w:t>
      </w:r>
    </w:p>
    <w:p>
      <w:pPr>
        <w:pStyle w:val="Heading2"/>
      </w:pPr>
      <w:r>
        <w:t>Regeste</w:t>
      </w:r>
    </w:p>
    <w:p>
      <w:r>
        <w:t>MESURE PROVISIONNELLE, GARDE ALTERNÉE, MODIFICATION DES CIRCONSTANCES, NOUVEAU MOYEN DE FAIT, THÉRAPIE, COMMUNICATION, APPRÉCIATION DES PREUVES | 179 al. 1 CC, 298 al. 2ter CC, 157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d’au moins 10'000 fr. (art. 308 al. 2 CPC). Les affaires relevant du droit de la famille ne sont pas patrimoniales, sauf si l’appel ne porte que sur les aspects financiers de la séparation (cf. TF 5A_819/2016 du 21 février 2017 consid. 1 et les réf. citées). Les décisions portant sur des mesures provisionnelles étant régies par la procédure sommaire (art. 248 let. d CPC), le délai pour l'introduction de l'appel, écrit et motivé, est de dix jours (art. 311 et 314 al. 1 CPC). L'appel relève de la compétence d'un juge unique (art. 84 al. 2 LOJV [loi d'organisation judicaire du 12 décembre 1979 ; BLV 173.01]).</w:t>
      </w:r>
    </w:p>
    <w:p>
      <w:r>
        <w:rPr>
          <w:b/>
        </w:rPr>
        <w:t>E. 1.2</w:t>
      </w:r>
    </w:p>
    <w:p>
      <w:r>
        <w:t>En l'espèce, formé en temps utile par une partie qui a un intérêt digne de protection (art. 59 al. 2 let. a CPC), dans une contestation de nature non pécuniaire dans son ensemble dès lors que le litige porte sur le mode de garde de l'enfant des parties, le présent appel est recevable.</w:t>
      </w:r>
    </w:p>
    <w:p>
      <w:r>
        <w:rPr>
          <w:b/>
        </w:rPr>
        <w:t>E. 2</w:t>
      </w:r>
    </w:p>
    <w:p>
      <w:r>
        <w:t>; TF 5A_876/2014 du 3 juin 2015 consid. 4.3.3). Quelle que soit la maxime appliquée quant à l'établissement des faits, chaque partie doit, si la loi ne prescrit le contraire, prouver les faits qu'elle allègue pour en déduire un droit (art. 8 CC). Toutefois, selon la jurisprudence, cette disposition n'est pas directement applicable lorsque la loi se contente de la vraisemblance des faits allégués (ATF 118 II 376, JT 1995 I 35), comme en matière de mesures provisionnelles. Celles-ci étant rendues en application de la procédure sommaire (art. 248 let. d CPC), le juge se prononce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w:t>
      </w:r>
    </w:p>
    <w:p>
      <w:r>
        <w:rPr>
          <w:b/>
        </w:rPr>
        <w:t>E. 2.2</w:t>
      </w:r>
    </w:p>
    <w:p>
      <w:r>
        <w:t>L'art. 296 al. 1 CPC prévoit une maxime inquisitoire illimitée en ce qui concerne les questions relatives aux enfants (TF 5A_245/2019 du 1 er juillet 2019 consid. 3.2.1 et les réf. citées ; TF 5A 608/2014 du 16 décembre 2014 consid. 4.2.1).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précité loc. cit. ; TF 5A_528/2015 du 21 janvier 2016 consid.</w:t>
      </w:r>
    </w:p>
    <w:p>
      <w:r>
        <w:rPr>
          <w:b/>
        </w:rPr>
        <w:t>E. 3.1</w:t>
      </w:r>
    </w:p>
    <w:p>
      <w:r>
        <w:t>L'appelant se plaint de l'appréciation des preuves et de l'établissement des faits sur plusieurs points.</w:t>
      </w:r>
    </w:p>
    <w:p>
      <w:r>
        <w:rPr>
          <w:b/>
        </w:rPr>
        <w:t>E. 3.2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Commentaire romand, Code de procédure civile, 2 e éd., Bâle 2019 [CR CPC], op. cit.,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Un témoignage écrit ne constitue pas l'un des moyens de preuve exhaustivement prévus à l'art. 168 CPC, d’autant moins lorsqu’il est rédigé en vue de l’appel (CACI 4 mai 2021/212 ; CACI 13 mai 2020/177 ; CREC 13 octobre 2016/416 ; cf. TF 5A_957/2012 du 28 mai 2013 consid. 2). La valeur probante d’un témoignage écrit concernant le sort des enfants, émanant de surcroît de personnes proches de la partie doit être appréciée avec une certaine réserve (TF 5A_438/2015 du 25 juin 2015 consid. 3.4). Une déclaration écrite ne permet en effet pas de vérifier les liens que son auteur peut avoir avec une partie, contrairement à ce que prévoit, au sujet des témoignages, l’art. 172 let. b CPC (CACI 10 mars 2021/112 ; CACI 6 août 2021/376).</w:t>
      </w:r>
    </w:p>
    <w:p>
      <w:r>
        <w:rPr>
          <w:b/>
        </w:rPr>
        <w:t>E. 3.3.1</w:t>
      </w:r>
    </w:p>
    <w:p>
      <w:r>
        <w:t>L'appelant fait grief au premier juge d'avoir retenu son caractère manipulateur. Il critique les éléments retenus pour admettre ce fait. Il soutient en substance que les rapports de l'association [...] reposeraient sur les seules affirmations de la partie adverse, que le rapport du psychologue [...] présenterait des propos attentatoires à l'honneur et appuyés sur des faits manifestement faux, que l'insistance dont il avait fait preuve auprès de la DGEJ n'aurait été qu'un moyen de protéger ses intérêts dans la procédure et que ses interventions répétées auprès de l'école de danse auraient été entreprises afin de rétablir la vérité. L'appelant a également contesté l'interprétation des faits faisant suite à l'ordonnance de mesures protectrices de l'union conjugale du 5 août 2021 et le courriel de la Dre [...] du 25 juin 2020. Enfin l'appelant conteste les allégations résultant du témoignage écrit de [...]. Le trait de caractère retenu par le premier juge ressort de plusieurs éléments de preuve du dossier. En particulier, dans diverses attestations datées des 13 juin 2019, 21 janvier et 14 septembre 2020, [...], psychologue spécialiste en psychothérapie FSP auprès de l'association [...], a indiqué que l'intimée décrivait une situation de violence conjugale exercée par son ex-conjoint, que les violences relatées étaient de type psychologique et économique, que celles-ci se poursuivaient malgré la séparation et que l'intimée présentait un état anxieux. Dans un document du 14 septembre 2020, le psychothérapeute de l'intimée [...] a relevé que l'appelant exerçait une pression psychologique importante sur sa patiente et qu'il s'agissait d'un véritable harcèlement. Dans une attestation du 10 octobre 2021, ce professionnel a mentionné que sa patiente était sous le choc du traitement infligé par l'appelant et qu'elle subissait une forme de violence psychologique. Il a également indiqué que l'appelant montrait des capacités élargies de manipulation, que ce fût avec leur fille B.________ – qu'il cherchait à influencer négativement vis-à-vis de sa mère et de son frère – ou envers toutes les personnes qui étaient intervenues dans les divers processus, en voulant montrer que la situation était bonne, autant dans sa relation avec la mère qu'avec leur fille, que cela augmentait l'anxiété de l'intimée, tout particulièrement lorsqu'elle se trouvait en présence de l'appelant et qu'elle montrait très clairement des signes de syndrome de stress post-traumatique. Il est vrai que les constatations précitées sont basées sur le ressenti et les déclarations de l'intimée. Elles émanent toutefois de professionnels. En outre, elles sont corroborées par de nombreux autres éléments du dossier. Ainsi, lors de l'audience du 9 décembre 2021, le premier juge a personnellement constaté que l'intimée présentait un état de détresse qui semblait sincère et profond. En outre, dans son rapport d'évaluation du 18 septembre 2019, la DGEJ a relevé que l'appelant avait tendance à en faire trop pour démontrer à quel point il était un bon père et que tout se passait bien avec l'intimée et leur fille, qu'il avait par exemple envoyé plusieurs dizaines de courriels durant leur évaluation pour décrire en détail les points de désaccord avec la partie adverse, qu'il avait également envoyé plusieurs vidéos de l'enfant en train de jouer en sa présence, qu'il avait aussi fait preuve d'insistance auprès des professionnels du réseau afin d'obtenir des attestations concernant l'enfant. Il n'y a aucune raison de douter des constatations précitées, qui sont le fait de professionnels aguerris et indépendants de toute intervention de l'intimée. Quoi qu'en dise l'appelant, les courriels échangés avec l'école de danse entre les 5 et 11 février 2019 démontrent le caractère pour le moins insistant de ses interventions répétées, ce qui a finalement conduit l'école de danse à lui demander « d'arrêter ce harcèlement » ; il n'y a aucun motif de douter des affirmations contenues dans ces échanges de courriels. De même, comme le premier juge, on constate que, par courrier du 22 juin 2020, l'appelant a informé l'autorité que lors d'une séance de thérapie familiale du 18 juin précédent, la Dre [...] avait expressément relevé que la garde alternée était la meilleure solution pour l'enfant. Or, par un courriel du 25 juin 2020, ce médecin a indiqué qu'elle n'était actuellement pas encore en mesure de se prononcer sur des questions de garde et que lors du dernier entretien, elle avait cité les dernières recherches favorisant la garde conjointe, sans aucune référence à la situation des parties. Enfin, l'intimée a produit en première instance plusieurs témoignages écrits émanant respectivement de sa femme de ménage du temps de la vie commune, de l'époux de celle-ci, ainsi que de sa bailleresse devenue entretemps son amie. Comme on l'a vu, les témoignages écrits ne constituent pas un moyen de preuve en tant que tels. Dans le cas d'espèce, les faits éloquents qu'ils relatent viennent cependant s'ajouter encore aux constatations des divers professionnels qui sont intervenus dans cette cause et relevées ci-dessus. En définitive, sur la base de tous ces éléments – provenant de professionnels intervenant à différents titres, de proches ou de tiers –, il est vraisemblable que l'appelant présente un caractère manipulateur. Le raisonnement du premier juge qui s'est justement fondé sur le grand nombre de pièces dont il est question ci-dessus, ne prête dès lors pas le flanc à la critique.</w:t>
      </w:r>
    </w:p>
    <w:p>
      <w:r>
        <w:rPr>
          <w:b/>
        </w:rPr>
        <w:t>E. 3.3.2</w:t>
      </w:r>
    </w:p>
    <w:p>
      <w:r>
        <w:t>L'appelant conteste l'état de stress post-traumatique de l'intimée. Il invoque notamment le fait qu'aucun certificat médical n'a été produit à ce sujet, hormis les constatations de deux psychologues. Il en veut pour preuve le fait que l'intimée ait toujours travaillé à 100 %. A ce stade de la procédure, les pièces au dossier – en particulier les rapports de [...] et [...] – sont suffisantes pour considérer l'état de stress post-traumatique de l'intimée comme vraisemblable. Si ces deux professionnels ne sont certes pas médecins, il s'agit toutefois de professionnels dans leur domaine. A cet égard, le rapport du 10 octobre 2021 établi par le second est éloquent sur l'état psychologique de l'intimée. On a déjà relevé également ci-dessus (cf. consid. 3.3.1) le caractère manipulateur de l'appelant. Ainsi, à ce stade de la procédure, les documents figurant au dossier permettent d'imputer le stress subi par l'intimée aux difficultés rencontrées avec l'appelant.</w:t>
      </w:r>
    </w:p>
    <w:p>
      <w:r>
        <w:rPr>
          <w:b/>
        </w:rPr>
        <w:t>E. 3.3.3</w:t>
      </w:r>
    </w:p>
    <w:p>
      <w:r>
        <w:t>Enfin, l'appelant soutient que le blocage de la thérapie familiale serait imputable à la seule intimée. Ce grief revient à nier les faits retenus ci-dessus (cf. consid. 3.3.1 et 3.3.2) à savoir le comportement manipulateur de l'appelant et le stress qu'il induit chez l'intimée. Le psychologue [...] a notamment préconisé de limiter les contacts entre les parties. L'incapacité de cette dernière à entreprendre la thérapie familiale préconisée doit être mise en lien avec les difficultés rencontrées dans le cadre de la séparation et certains comportements de l'appelant, tels que décrits aux considérants précédents. Dans ces conditions, on ne saurait reprocher à l'intimée d'être à l'origine du blocage de la thérapie familiale préconisée.</w:t>
      </w:r>
    </w:p>
    <w:p>
      <w:r>
        <w:rPr>
          <w:b/>
        </w:rPr>
        <w:t>E. 4.1</w:t>
      </w:r>
    </w:p>
    <w:p>
      <w:r>
        <w:t>L'appelant requiert l'instauration d'une garde alternée. Il relève que la thérapie familiale ne pourrait pas avancer du seul fait de l'intimée, que la communication entre les parents serait suffisamment bonne et viable, qu'ils échangeraient toutes les informations importantes concernant leur fille, que les deux parties disposeraient de la capacité éducative nécessaire à l'instauration d'une garde alternée, qu'avant la séparation, la prise en charge de l'enfant aurait été répartie à part égale entre les parents et qu'il disposerait de beaucoup de flexibilité dans l'organisation de ses journées.</w:t>
      </w:r>
    </w:p>
    <w:p>
      <w:r>
        <w:rPr>
          <w:b/>
        </w:rPr>
        <w:t>E. 4.2.1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(TF 5A_64/2018 du 14 août 2018 consid. 3.1 et les références citées).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matière de mesures provisionnelles de réglementation, il n'est exigé ni une urgence particulière, ni la menace d'une atteinte ou d'un préjudice difficilement réparable (Juge délégué CACI 30 mars 2020/124). La partie requérante doit fonder sa demande en modification sur de vrais nova (ATF 143 III 42 consid. 5.2-5.3 ; TF 5A_42/2019 du 18 avril 2019 consid. 3.2), c'est-à-dire des faits ou moyens de preuve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5A_18/2016 du 24 novembre 2016 consid. 2.5). En d'autres termes, la voie de la modification est ouverte soit lorsque le fait allégué est un vrai nova, soit lorsqu'il constitue un pseudo nova, mais que le moyen de preuve apte à l'établir est un vrai nova (TF 5A_154/2019 du 1 er octobre 2019 consid. 4.1). Le moment déterminant pour apprécier si des circonstances nouvelles se sont produites est la date du dépôt de la requête de modification (ATF 137 III 604 consid. 4.1.1 et la référence citée ; TF 5A_611/2019 du 29 avril 2020 consid. 4.1 ; TF 5A_400/2018 du 28 août 2018 consid. 3 ; TF 5A_788/2017 du 2 juillet 2018 consid. 5.1). A titre d'exception, l'évolution prévisible de la situation doit toutefois être prise en considération dans l'examen de l'entrée en matière, cela afin d'éviter autant que possible des procédures de modification ultérieures (ATF 120 II 285 consid. 4b ; 5A_874/2019 du 22 juin 2020 consid. 3.2 ; TF 5A_373/2015 du 2 juin 2016 consid. 4.3.1, FamPra.ch 2016 p. 999).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(TF 5A 787/2017 du 28 novembre 2017 consid. 5.1 et les références citées ; Juge délégué CACI 10 janvier 2020/12 consid. 3.1.1).</w:t>
      </w:r>
    </w:p>
    <w:p>
      <w:r>
        <w:rPr>
          <w:b/>
        </w:rPr>
        <w:t>E. 4.2.2</w:t>
      </w:r>
    </w:p>
    <w:p>
      <w:r>
        <w:t>En tant que des enfants mineurs sont concernés, le juge ordonne les mesures nécessaires d'après les dispositions sur les effets de la filiation (art. 176 al. 3 CC, applicable par renvoi de l'art. 276 al. 1 CPC). Aux termes de l'art. 298 al. 2ter CC, lorsque l'autorité parentale est exercée conjointement, le juge examine, selon le bien de l'enfant, la possibilité de la garde alternée, si le père, la mère ou l'enfant le demande. En matière d'attribution des droits parentaux, le bien de l'enfant constitue en effet la règle fondamentale (ATF 141 III 328 consid. 5.4), les intérêts des parents devant être relégués au second plan (ATF 142 Ill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5A_11/2020 du 13 mai 2020 consid. 3.3.3.1 et les arrêts cités ; TF 5A_991/2019 du 19 janvier 2021 consid. 5.1.2 ; TF 5A_79312020 du 24 février 2021 consid. 5.1.2 ; TF 5A 682/2020 du 21 juin 2021 consid. 2.1).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 ; sur le tout TF 5A_46/2015 du 26 mai 2015 consid. 4.4, FamPra.ch 2015 p. 987).</w:t>
      </w:r>
    </w:p>
    <w:p>
      <w:r>
        <w:rPr>
          <w:b/>
        </w:rPr>
        <w:t>E. 4.3.1</w:t>
      </w:r>
    </w:p>
    <w:p>
      <w:r>
        <w:t>En l'espèce, par prononcé de mesures protectrices de l'union conjugale du 17 avril 2019, la garde de l'enfant B.________ a été confiée à sa mère, le père bénéficiant d'un droit de visite. S'agissant de la garde partagée, la présidente du tribunal d'arrondissement avait relevé que la plupart des conditions pour une garde alternée était remplie, à savoir que les parents résidaient à proximité l'un de l'autre et que chacun disposait des capacités éducatives nécessaires pour s'occuper de l'enfant ; elle a cependant souligné, s'agissant de la communication entre les parents, que les tensions au sein du couple et les reproches réciproques étaient de plus en plus nombreux et intenses, ce qui ne favorisait pas un environnement propice à la mise en place d'une garde alternée. Par prononcé de mesures protectrices de l'union conjugale du 5 août 2020, la présidente du tribunal d'arrondissement a rejeté la requête de l'appelant tendant notamment à l'instauration d'une garde partagée. Elle a considéré, en bref, que les parties avaient encore du mal à prendre conscience de ce que signifiait avoir la volonté de communiquer et de collaborer dans la prise en charge de l'enfant, que le simple fait de transmettre des informations à l'autre parent ne signifiait pas encore établir une saine communication pour le bien de l'enfant, que la communication nécessitait pour les parents d'avoir la capacité de trouver seuls un compromis entre des positions divergentes sur les questions relatives à l'enfant, ce que les parties n'étaient pas capables de faire en raison de leur vécu, leur ressenti et leur incompréhension mutuelle. La présidente a également constaté que les revendications et animosités entre les parties étaient encore trop présentes pour l'instauration d'une garde alternée et que si celles-ci se révélaient incapables d'entamer la thérapie mise en place auprès de la Dre [...], la garde alternée irait manifestement à l'encontre du bien de l'enfant, notamment vu la nécessité d'un suivi pédopsychiatrique pour celle-ci. Par convention signée lors de l'audience d'appel du 30 novembre 2020, les parties sont convenues que la garde de fait en faveur de la mère pourrait faire l'objet d'une réévaluation ultérieure en fonction de la thérapie familiale entreprise par les parties [réd.: chiffre IV de la convention]. A cette occasion, les parties s'étaient en effet engagées à entreprendre une thérapie familiale.</w:t>
      </w:r>
    </w:p>
    <w:p>
      <w:r>
        <w:rPr>
          <w:b/>
        </w:rPr>
        <w:t>E. 4.3.2</w:t>
      </w:r>
    </w:p>
    <w:p>
      <w:r>
        <w:t>Dans un rapport du 13 octobre 2020, la Dre [...] avait indiqué que les parents avaient de bonnes capacités parentales et une relation proche avec leur fille, qu'un travail de coparentalité serait indiqué et même nécessaire pour augmenter le sens de l'impact que leur conflit pourrait avoir sur leur fille, que ce travail pourrait aider les parents à trouver des moyens d'accepter leurs différends dans la coparentalité, afin que l'enfant puisse continuer à avoir des relations fluides avec ses deux parents. Le médecin avait toutefois souligné que la prise en charge thérapeutique était rendue complexe, voire impossible, par les enjeux juridiques existants, mais qu'une fois les décisions de garde définitivement réglées, elle resterait à disposition pour la suite du travail thérapeutique, qui lui semblait indispensable. Quelques dix mois plus tard, soit le 12 août 2021, ce médecin a expliqué que les résultats de son accompagnement psychothérapeutique restaient limités, que la méfiance mutuelle persistait entre les deux parents, qu'il était regrettable que depuis le début de la prise en charge en mars 2020, les deux parents ne soient vus que séparément – à l'exception de deux séances communes via zoom –, que la mère ne se sentait pas prête pour être reçue avec le père de sa fille. La Dre [...] a relevé que pour espérer une avancée thérapeutique, il faudrait en premier lieu une décision juridique concernant le mode de garde et s'est référées aux constatations de son rapport du 13 octobre 2020 selon lesquelles « la prise en charge thérapeutique [était] rendue complexe voire impossible par les enjeux juridiques actuels », cette constatation étant toujours d'actualité. La spécialiste a conclu que l'absence d'accord sur le mode de garde restait le frein principal pour un véritable travail thérapeutique, mais que l'enfant maintenait cependant une relation de qualité avec chacun de ses deux parents, ce qui démontrait la bonne préoccupation parentale de ceux-ci. Il résulte de ce qui précède que la thérapie familiale préconisée n'a pas abouti. Il est ainsi évident que les parties n'ont pu améliorer leur communication ni régler leurs conflits par le biais de cette thérapie, ce qui était une prémisse pour instaurer la garde alternée revendiquée par l'appelant.</w:t>
      </w:r>
    </w:p>
    <w:p>
      <w:r>
        <w:rPr>
          <w:b/>
        </w:rPr>
        <w:t>E. 4.3.3</w:t>
      </w:r>
    </w:p>
    <w:p>
      <w:r>
        <w:t>Il convient d'examiner s'il existe des éléments nouveaux permettant de conclure à une meilleure collaboration entre les parties, malgré l'échec de la thérapie familiale. Il résulte du rapport du 24 septembre 2021 de [...], le psychologue traitant de l'intimée depuis début 2020, que cette dernière était sous l'emprise émotionnelle de l'appelant lorsqu'elle était en contact avec lui. De même, dans un rapport du 10 octobre 2021, le psychologue a relevé certains problèmes rencontrés entre les parties et a préconisé de limiter les contacts entre les époux, sauf à entreprendre une médiation – qui devait si possible être menée séparément –dont le but serait de gérer les contacts entre les parents, mais aussi la gestion des relations avec leur fille. Sur la base des constatations de ce praticien, on constate que le stress ressenti par l'intimée perdure. Dans un courrier du 24 février 2021, [...], psychologue spécialiste en psychothérapie FSP qui a rencontré à cinq reprises entre octobre et décembre 2020 l'enfant des parties, toujours accompagnée de sa mère, a constaté que l'équilibre quant à la situation familiale pouvait se voir facilement rompu vu le jeune âge de l'enfant et que le conflit parental ne semblait pas encore trouver d'apaisement. La spécialiste a conseillé de maintenir l'enfant en dehors du conflit parental et d'éviter qu'elle devienne un enjeu pour régler les griefs conjugaux. Ces constatations permettent de retenir que le conflit est encore vif. Plusieurs courriers échangés entre les conseils des parties – notamment les 9 novembre 2020, 10 février, 29 avril et 28 juin 2021 – démontrent l'absence de communication entre les parties sur des questions telles que le logement de l'appelant, des question financières liées à la séparation, le ressenti de l'enfant à la suite de la visite chez son père ou les difficultés de l'intimée de s'entretenir avec sa fille lors de l'exercice du droit de visite. Les parties ont alors dû passer par l'intermédiaire de leurs conseils respectifs pour aborder ces problématiques. Sans remettre en cause les capacités éducatives de chacune des parties à s'occuper de l'enfant, ces différents éléments soulignent que les conflits et tensions persistent entre les parties. Pour ces motifs, la capacité à communiquer et à coopérer des parties est en l'état insuffisante pour entrer en matière sur la garde alternée réclamée par l'appelant.</w:t>
      </w:r>
    </w:p>
    <w:p>
      <w:r>
        <w:rPr>
          <w:b/>
        </w:rPr>
        <w:t>E. 5.1</w:t>
      </w:r>
    </w:p>
    <w:p>
      <w:r>
        <w:t>Pour ces motifs, l'appel, manifestement mal fondé (art. 312 al. 1 CPC), doit être rejeté et l'ordonnance querellée confirmée.</w:t>
      </w:r>
    </w:p>
    <w:p>
      <w:r>
        <w:rPr>
          <w:b/>
        </w:rPr>
        <w:t>E. 5.2</w:t>
      </w:r>
    </w:p>
    <w:p>
      <w:r>
        <w:t>Vu l'issue du litige, les frais judiciaires de deuxième instance, arrêtés à 600 fr. (art. 65 al. 2 TFJC [tarif des frais judiciaires civils du 28 septembre 2010 ; BLV 270.11.5]), doivent mis à la charge de l'appelant qui succombe entièrement (art. 106 al. 1 CPC). L'intimée n'ayant pas été invitée à se déterminer, il n'y a pas lieu de lui allouer de dépens pour la procédure d'appel. Par ces motifs, La Juge déléguée de la Cour d’appel civile prononce : I. L’appel est rejeté. II. L'ordonnance attaquée est confirmée. III. Les frais judiciaires de deuxième instance, arrêtés à 600 fr. (six cents francs), sont mis à la charge de l'appelant H.________. IV. L'arrêt est exécutoire. La juge déléguée : La greffière : Du Le présent arrêt, dont la rédaction a été approuvée à huis clos, est notifié en expédition complète à : ‑ Me Anaïs Bordard (pour H.________), ‑ Me Nicolas Mossaz (pour S.________),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