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268 vom 22. März 2022</w:t>
      </w:r>
    </w:p>
    <w:p>
      <w:r>
        <w:t>VD Tribunal cantonal, 2022-03-22, FR</w:t>
      </w:r>
    </w:p>
    <w:p>
      <w:r>
        <w:rPr>
          <w:b/>
        </w:rPr>
        <w:t xml:space="preserve">Quelle: </w:t>
      </w:r>
      <w:r>
        <w:t>https://mcp.opencaselaw.ch/entscheid/vd_findinfo_HC___2022___268</w:t>
      </w:r>
    </w:p>
    <w:p>
      <w:r>
        <w:t>FR: VD_FINDINFO HC / 2022 / 268 du 22 mars 2022</w:t>
      </w:r>
    </w:p>
    <w:p>
      <w:r>
        <w:t>IT: VD_FINDINFO HC / 2022 / 268 del 22 marzo 2022</w:t>
      </w:r>
    </w:p>
    <w:p>
      <w:pPr>
        <w:pStyle w:val="Heading2"/>
      </w:pPr>
      <w:r>
        <w:t>Regeste</w:t>
      </w:r>
    </w:p>
    <w:p>
      <w:r>
        <w:t>DÉCISION D'IRRECEVABILITÉ, DOMMAGE IRRÉPARABLE, PREUVE À FUTUR | 183 CPC (CH), 319 let. b ch. 2 CPC (CH)</w:t>
      </w:r>
    </w:p>
    <w:p>
      <w:pPr>
        <w:pStyle w:val="Heading2"/>
      </w:pPr>
      <w:r>
        <w:t>Erwägungen</w:t>
      </w:r>
    </w:p>
    <w:p>
      <w:r>
        <w:rPr>
          <w:b/>
        </w:rPr>
        <w:t>E. 1.1</w:t>
      </w:r>
    </w:p>
    <w:p>
      <w:r>
        <w:t>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2 e éd., 2019, [cité ci-après : CR-CPC], n. 11 ad art. 319 CPC). Une ordonnance de preuve à futur requise dans une procédure principale pendante constitue une ordonnance d’instruction, au sens de l’art. 319 let. b ch. 2 CPC (TF 4A_128/2017 du 12 mai 2017 consid. 5.4 et 5.5 in CPC Online, newsletter du 26 octobre 2017, avec note de Bastons Bulletti, n. 1 ; JdT 2014 III 84). Il en va de même de la décision admettant une requête de preuve à futur dans une procédure indépendante (TF 4A_248/2014 du 27 juin 2014 consid. 1.3). Une telle décision peut faire l’objet d’un recours pour autant qu'elle soit susceptible de provoquer un dommage difficilement réparable (CREC 29 juillet 2021/207 consid. 1.1).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1.2</w:t>
      </w:r>
    </w:p>
    <w:p>
      <w:r>
        <w:t>En l’espèce, le recours a été interjeté en temps utile. Pour déterminer s’il est recevable, il convient d’examiner si le recourant est exposé à un préjudice difficilement réparable.</w:t>
      </w:r>
    </w:p>
    <w:p>
      <w:r>
        <w:rPr>
          <w:b/>
        </w:rPr>
        <w:t>E. 2.1</w:t>
      </w:r>
    </w:p>
    <w:p>
      <w:r>
        <w:t>Le recourant fait valoir qu’il serait exposé à un préjudice difficilement réparable. Il soutient, en substance, que les injonctions prévues aux chiffres IV et V du dispositif de l’ordonnance entreprise, soit laisser l'expert pénétrer sur la parcelle dont il est propriétaire pour procéder aux relevés et l'interdiction qui lui est faite de ne pas procéder à l'écimage ou faire procéder à l'écimage des plantations porteraient atteinte à ses droits absolus. Il invoque ainsi la garantie de la propriété et le droit à la protection de sa sphère privée. Les mesures ordonnées auraient pour conséquence que le recourant devrait subir à nouveau des visites et des vols de drones sur sa parcelle sous prétexte de nouveaux relevés. De plus, les travaux d'entretien devraient être repoussés jusqu'au mois de novembre car la taille annuelle ne pourrait pas avoir lieu après mi-mars, ce qui engendrerait une détérioration des haies qui ne pourraient ainsi pas bénéficier de la taille annuelle « nécessaire à leur vitalité ». Enfin, il serait contraire à l'égalité des armes que l'expert choisi par l'intimée puisse se prononcer à deux reprises sur la question de la dimension des plantations.</w:t>
      </w:r>
    </w:p>
    <w:p>
      <w:r>
        <w:rPr>
          <w:b/>
        </w:rPr>
        <w:t>E. 2.2</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CR-CPC, n. 22 ad art. 319 CPC). L'examen de l'existence d'un risque de préjudice difficilement réparable doit se faire par rapport aux effets de la décision incidente sur la cause principale, respectivement la procédure principale (ATF 141 III 80 consid. 1.2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n. 22 ad art. 319 CPC et les réf. citées). Par ailleurs, un préjudice difficilement réparable de nature juridique ne doit pas pouvoir être ultérieurement réparé ou entièrement réparé par une décision finale favorable au recourant (ATF 141 III 80 consid. 1.2 et les arrêts cités ; TF 5A_541/2019 du 8 mai 2020 consid. 1.2).</w:t>
      </w:r>
    </w:p>
    <w:p>
      <w:r>
        <w:rPr>
          <w:b/>
        </w:rPr>
        <w:t>E. 2.3</w:t>
      </w:r>
    </w:p>
    <w:p>
      <w:r>
        <w:t>En l'espèce, la condition d’un préjudice difficilement réparable n'est pas réalisée. En effet, l'expert a procédé à un constat d'urgence à la suite d’une ordonnance de mesures superprovisionnelles. Il s'agit désormais de procéder à une expertise de preuve à futur et il n’est dès lors pas question d’effectuer deux fois des opérations identiques. Par ailleurs, l'invocation par le recourant de la garantie de la propriété et de la protection de sa sphère privée est dénuée de tout fondement. A cet égard, aucune expertise « sur le terrain » ou inspection locale ne pourrait jamais avoir lieu s'il suffisait à une partie d'invoquer abstraitement ces garanties. De plus, on ne voit pas que la gêne occasionnée par la visite sur sa parcelle d'un expert qui effectue des relevés soit telle qu'elle cause un préjudice difficilement réparable au recourant. Il n'a d'ailleurs pas exposé concrètement en quoi cela lui causerait un dommage. Enfin, s'agissant de la taille qui serait indispensable à la vitalité des haies, le recourant est bien mal placé pour s'en prévaloir. Il faut en effet rappeler que le litige de voisinage entre le recourant et l’intimée provient du fait que le recourant semble ne pas entretenir ses plantations, et ce de longue date. Dites plantations paraissent causer un préjudice à l’intimée, en privant d’ensoleillement la partie sud-est de sa propriété et en obstruant sa vue sur le lac. D’ailleurs, en 2006 déjà, l’intimée avait dû agir en justice contre le recourant. Pour le surplus, le recourant fait preuve de mauvaise foi lorsqu'il se prévaut d'une « inégalité des armes » s'agissant du choix de l'expert. On rappellera à cet égard qu’on est en présence d'une seule et même procédure de preuve à futur, dans laquelle la juge de paix a statué à titre superprovisionnel, puis provisionnel. L’expert a certes été proposé par l’intimée. Le recourant ne s’est toutefois pas opposé à ce qu’il soit désigné, ni à ce qu’il réalise le constat d’urgence. Quoiqu'il en soit, le recourant n’est de toute manière pas exposé à un préjudice irréparable du fait du choix de l’expert.</w:t>
      </w:r>
    </w:p>
    <w:p>
      <w:r>
        <w:rPr>
          <w:b/>
        </w:rPr>
        <w:t>E. 3.1</w:t>
      </w:r>
    </w:p>
    <w:p>
      <w:r>
        <w:t>En définitive, le recours doit être déclaré irrecevable selon l’art. 322 al. 1 in fine CPC, ce qui rend sans objet la requête d’effet suspensif.</w:t>
      </w:r>
    </w:p>
    <w:p>
      <w:r>
        <w:rPr>
          <w:b/>
        </w:rPr>
        <w:t>E. 3.2</w:t>
      </w:r>
    </w:p>
    <w:p>
      <w:r>
        <w:t>Les frais judiciaires de deuxième instance, arrêtés à 500 fr. (art. 69 TFJC [tarif des frais judiciaires civils du 28 septembre 2010 ; BLV 270.11.5]), seront mis à la charge du recourant, qui succombe (art. 106 al. 1 CPC). L’intimée n’ayant pas été invitée à se déterminer, il n’y a pas matière à l’octroi de dépens de deuxième instance. Par ces motifs, la Chambre des recours civile du Tribunal cantonal, en application de l'art. 322 al. 1 CPC, prononce : I. Le recours est irrecevable. II. La requête d'effet suspensif est sans objet. III. Les frais judiciaires de deuxième instance, arrêtés à 500 fr. (cinq cents francs), sont mis à la charge du recourant N.________. IV. L’arrêt est exécutoire. Le président :               La greffière : Du L'arrêt qui précède, dont la rédaction a été approuvée à huis clos, est notifié à: ‑ Me Benoît Bovay (pour N.________), ‑ Me Christophe Piguet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