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240 vom 7. März 2022</w:t>
      </w:r>
    </w:p>
    <w:p>
      <w:r>
        <w:t>VD Tribunal cantonal, 2022-03-07, FR</w:t>
      </w:r>
    </w:p>
    <w:p>
      <w:r>
        <w:rPr>
          <w:b/>
        </w:rPr>
        <w:t xml:space="preserve">Quelle: </w:t>
      </w:r>
      <w:r>
        <w:t>https://mcp.opencaselaw.ch/entscheid/vd_findinfo_HC___2022___240</w:t>
      </w:r>
    </w:p>
    <w:p>
      <w:r>
        <w:t>FR: VD_FINDINFO HC / 2022 / 240 du 7 mars 2022</w:t>
      </w:r>
    </w:p>
    <w:p>
      <w:r>
        <w:t>IT: VD_FINDINFO HC / 2022 / 240 del 7 marzo 2022</w:t>
      </w:r>
    </w:p>
    <w:p>
      <w:pPr>
        <w:pStyle w:val="Heading2"/>
      </w:pPr>
      <w:r>
        <w:t>Regeste</w:t>
      </w:r>
    </w:p>
    <w:p>
      <w:r>
        <w:t>DÉCISION D'IRRECEVABILITÉ, DOMMAGE IRRÉPARABLE | 125 let. a CPC (CH), 319 let. b ch. 2 CPC (CH)</w:t>
      </w:r>
    </w:p>
    <w:p>
      <w:pPr>
        <w:pStyle w:val="Heading2"/>
      </w:pPr>
      <w:r>
        <w:t>Erwägungen</w:t>
      </w:r>
    </w:p>
    <w:p>
      <w:r>
        <w:rPr>
          <w:b/>
        </w:rPr>
        <w:t>E. 1.1</w:t>
      </w:r>
    </w:p>
    <w:p>
      <w:r>
        <w:t>Aux termes de l’art. 319 let. b CPC (Code de procédure civile suisse du 19 décembre 2008 ; RS 272), le recours est recevable contre les autres décisions et ordonnances d’instruction de première instance dans les cas prévus par la loi (ch. 1) ou lorsqu’elles peuvent causer un préjudice difficilement réparable (ch. 2).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ces décisions, qui marquent définitivement le cours des débats, contrairement à une simple ordonnance d’instruction se rapportant à leur préparation et à leur conduite, doivent être qualifiées d’« autres décisions », soumises au délai applicable à la procédure au fond (Jeandin, Commentaire romand, Code de procédure civile, 2 e éd., Bâle 2019, nn. 14 et 15 ad art. 319 CPC et 10 ad art. 321 CPC). Pour d’autres auteurs, les décisions en question constituent des ordonnances d’instruction soumises au délai de recours de dix jours de l’art. 321 al. 2 CPC (Haldy, Commentaire romand, op. cit., nn. 2 et</w:t>
      </w:r>
    </w:p>
    <w:p>
      <w:r>
        <w:rPr>
          <w:b/>
        </w:rPr>
        <w:t>E. 1.2</w:t>
      </w:r>
    </w:p>
    <w:p>
      <w:r>
        <w:t>En l’espèce, le recours est dirigé contre le prononcé du 26 janvier 2022, par lequel l’autorité de première instance a rejeté la requête de la recourante tendant à limiter la procédure à la recevabilité de la demande déposée le 24 mars 2020 par l’intimé, qui constitue, selon les références susmentionnées, une « autre décision » au sens de l’art. 319 let. b CPC. Il a en outre été déposé en temps utile, dès lors que la procédure ordinaire est applicable au procès au fond, et par une partie qui dispose d’un intérêt digne de protection (art. 59 al. 2 let. a CPC). Il reste à examiner si le prononcé entrepris est susceptible de causer un préjudice difficilement réparable à la recourante, étant précisé qu’il appartient à cette dernière de démontrer l’existence d’un tel préjudice (CREC 8 juillet 2021/191 consid. 4.2 ; Haldy, op. cit., n. 3 ad art. 125 CPC). 2. 2.1 La notion de préjudice difficilement réparable de l’art. 319 let. b ch. 2 CPC est plus large que celle de dommage irréparable de l’art. 93 al. 1 let. a LTF,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(JdT 2014 III 121 ; CREC 16 décembre 2016/505).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 CREC 22 mars 2012/117 ; Jeandin, op. cit., n. 22 ad art. 319 CPC et les références citées ; Hohl, op. cit., n. 2485 p. 449). En outre, un préjudice irréparable de nature juridique ne doit pas pouvoir être ultérieurement réparé ou entièrement réparé par une décision finale favorable au recourant (ATF 134 III 188 consid. 2.1). Il y a lieu de se montrer exigeant quant à la réalisation de la condition du préjudice difficilement réparable en cas de refus de limiter la procédure à une question particulière. Un préjudice difficilement réparable ne sera pas admis du seul fait que le litige patrimonial est d’une certaine importance, ni d’une certaine durée (CREC 8 juillet 2021/191). 2.2 La recourante fait valoir que la procédure au fond engendrera des coûts importants en raison de sa valeur litigieuse, supérieure à 11’000’000 fr., et qu’elle devra ainsi supporter des frais considérables, en particulier d’avocat, qui ne seront pas entièrement couverts, même en cas de gain du procès, les dépens étant selon elle généralement moins élevés que les frais de défense effectifs. Elle ajoute que le litige durera vraisemblablement plusieurs années et qu’elle devra y consacrer un temps non négligeable. Elle relève à cet égard qu’elle est domiciliée à [...] et qu’elle est déjà opposée à la partie adverse dans le cadre de plusieurs procédures pendantes dans les cantons de Vaud et de Berne, ainsi qu’à l’étranger, à savoir à Monaco, en France et au Luxembourg. En l’espèce, s’il est vrai que la valeur litigieuse est importante et que le procès s’annonce d’une certaine durée, cela ne constitue pas, en soi, un préjudice difficilement réparable, de tels paramètres n’étant pas à eux seuls suffisants. Par ailleurs, le domicile de la recourante à l’étranger n’est pas propre à l’empêcher de participer à plusieurs importants procès patrimoniaux dans plusieurs pays d’Europe. Elle n’allègue en outre pas d’inconvénients particuliers sur ce point. S’agissant des aspects financiers, la recourante se verra allouer des dépens si elle obtient gain de cause dans le cadre du procès patrimonial. Elle ne rend pas vraisemblable que ses frais raisonnables d’avocat ne lui seraient alors pas remboursés sous la forme de dépens ou que sa créance en dépens ne serait pas recouvrable en raison de l’insolvabilité de sa partie adverse. En effet, l’art. 95 al. 3 let. b CPC vise l’entier des frais d’avocat, et non une simple participation (cf. Tappy, Commentaire romand, op. cit., n. 30 ad art. 95 CPC). Les inconvénients financiers dont la recourante se prévaut ne sont par conséquent pas non plus de nature à lui causer un préjudice difficilement réparable. Ainsi, le prononcé querellé n’est pas susceptible de causer un préjudice difficilement réparable à la recourante.</w:t>
      </w:r>
    </w:p>
    <w:p>
      <w:r>
        <w:rPr>
          <w:b/>
        </w:rPr>
        <w:t>E. 3</w:t>
      </w:r>
    </w:p>
    <w:p>
      <w:r>
        <w:t>En définitive, le recours doit être déclaré irrecevable.</w:t>
      </w:r>
    </w:p>
    <w:p>
      <w:r>
        <w:rPr>
          <w:b/>
        </w:rPr>
        <w:t>E. 4.1</w:t>
      </w:r>
    </w:p>
    <w:p>
      <w:r>
        <w:t>La recourante a procédé à une avance de frais de 20’000 fr. pour la procédure de recours.</w:t>
      </w:r>
    </w:p>
    <w:p>
      <w:r>
        <w:rPr>
          <w:b/>
        </w:rPr>
        <w:t>E. 4.2</w:t>
      </w:r>
    </w:p>
    <w:p>
      <w:r>
        <w:t>Aux termes de l’art. 69 al. 1 TFJC (tarif des frais judiciaires civils du 28 septembre 2010 ; BLV 270.11.5), l’émolument forfaitaire de décision pour un recours dans une affaire patrimoniale de la présente valeur litigieuse, soit plus de 7’000’000 fr., est plafonné à 20’000 francs. Toutefois l’art. 70 al. 2 in fine TFJC réserve le principe d’équivalence (des coûts), soit que le montant de chaque émolument doit être en rapport avec la valeur objective de la prestation fournie et rester dans des limites raisonnables (ATF 145 I 52 consid. 5.2.3 ; ATF 141 I 105 consid. 3.3.2 ; ATF 139 III 334 consid. 3.2.4). Le principe d’équivalence exige ainsi, en concrétisant notamment le principe de la proportionnalité, que le montant d’une taxe ne soit pas dans un rapport manifestement disproportionné avec la valeur objective de la prestation et reste dans des limites raisonnables (TF 5A_398/2018 du 11 décembre 2018 consid. 5.4, RSPC 2019 p. 149 ; TF 5A_923/2017 du 4 juin 2018 consid. 2.2.2 ; TF 5A_472/2016 du 14 février 2017 consid. 5.1.1).</w:t>
      </w:r>
    </w:p>
    <w:p>
      <w:r>
        <w:rPr>
          <w:b/>
        </w:rPr>
        <w:t>E. 4.3</w:t>
      </w:r>
    </w:p>
    <w:p>
      <w:r>
        <w:t>En l’espèce, en tenant compte, d’une part, de l’importance de la valeur litigieuse et de la fourchette qu’elle induit et, d’autre part, du travail réduit qu’implique le traitement d’un recours en définitive limité à la question de sa recevabilité, il se justifie de fixer l’émolument d’arrêt à 5’000 fr. et de restituer à la recourante le solde de l’avance de frais qu’elle a effectuée, de 15’000 francs.</w:t>
      </w:r>
    </w:p>
    <w:p>
      <w:r>
        <w:rPr>
          <w:b/>
        </w:rPr>
        <w:t>E. 4.4</w:t>
      </w:r>
    </w:p>
    <w:p>
      <w:r>
        <w:t>Il n’y a pas lieu à l’allocation de dépens de deuxième instance, l’intimé n’ayant pas été invité à se déterminer. Par ces motifs, la Chambre des recours civile du Tribunal cantonal, prononce : I. Le recours est irrecevable. II. Les frais judiciaires de deuxième instance, arrêtés à 5’000 fr. (cinq mille francs), sont mis à la charge de la recourante A.I.________. III. L’arrêt est exécutoire. Le président :               Le greffier : Du L’arrêt qui précède, dont la rédaction a été approuvée à huis clos, est notifié à : ‑ Me François Roux, avocat (pour A.I.________), ‑ Me Stéphane Lagonico, avocat (pour B.I.________).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