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215 vom 30. März 2022</w:t>
      </w:r>
    </w:p>
    <w:p>
      <w:r>
        <w:t>VD Tribunal cantonal, 2022-03-30, FR</w:t>
      </w:r>
    </w:p>
    <w:p>
      <w:r>
        <w:rPr>
          <w:b/>
        </w:rPr>
        <w:t xml:space="preserve">Quelle: </w:t>
      </w:r>
      <w:r>
        <w:t>https://mcp.opencaselaw.ch/entscheid/vd_findinfo_HC___2022___215</w:t>
      </w:r>
    </w:p>
    <w:p>
      <w:r>
        <w:t>FR: VD_FINDINFO HC / 2022 / 215 du 30 mars 2022</w:t>
      </w:r>
    </w:p>
    <w:p>
      <w:r>
        <w:t>IT: VD_FINDINFO HC / 2022 / 215 del 30 marzo 2022</w:t>
      </w:r>
    </w:p>
    <w:p>
      <w:pPr>
        <w:pStyle w:val="Heading2"/>
      </w:pPr>
      <w:r>
        <w:t>Regeste</w:t>
      </w:r>
    </w:p>
    <w:p>
      <w:r>
        <w:t>CONTRAT DE TRAVAIL, CONVENTION COLLECTIVE DE TRAVAIL</w:t>
      </w:r>
    </w:p>
    <w:p>
      <w:pPr>
        <w:pStyle w:val="Heading2"/>
      </w:pPr>
      <w:r>
        <w:t>Erwägungen</w:t>
      </w:r>
    </w:p>
    <w:p>
      <w:r>
        <w:rPr>
          <w:b/>
        </w:rPr>
        <w:t>E. 7</w:t>
      </w:r>
    </w:p>
    <w:p>
      <w:r>
        <w:t>du bordereau de l’appelant du 13 mai 2019. Il s'agit d'adapter le taux-horaire appliqué, de 23 fr., au taux minimal CCT de 24 fr. 65, soit une différence horaire de 1 fr. 65. En 2014, l'appelant a effectué 1'879.9 heures à 1 fr. 65, correspondant à un montant de 3'101 fr. 84, auquel s’ajoutent la part aux vacances de 330 fr. 04 (3'101.84 x 10.64%) et la part au 13 e salaire de 285 fr. 87 ([3'101.84 + 330.04] x 8.33%), ce qui équivaut à un salaire brut de 3'717 fr. 75 . En 2015, l'appelant a effectué 1'945.35 heures à 1 fr. 65, correspondant à un montant de 3'209 fr. 83, auquel s’ajoutent la part aux vacances de 341 fr. 53 (3'209.83 x 10.64%) et la part au 13 e salaire de 295 fr. 83 ([3'209.83 + 341.53] x 8.33%), ce qui équivaut à un salaire brut de 3'847 fr. 20 . En 2016, il s'agit d'adapter le taux-horaire appliqué de 23 fr. 30 à 26 fr. 70 pour les mois de janvier et février, soit une différence de 3 fr. 40, et de l'adapter à 27 fr. de mars à décembre 2016, soit une différence de 3 fr. 70. En janvier et février 2016, l'appelant a effectué 298.2 heures à 3 fr. 40, correspondant à un montant de 1'013 fr. 88, auquel s’ajoutent la part aux vacances de 107 fr. 88 (298.2 x 10.64%) et la part au 13 e salaire de 93 fr. 44 ([1013.88 + 107.88) x 8.33%), ce qui équivaut à un salaire brut de 1'215 fr. 20. De mars à décembre 2016, l'appelant a effectué 1'609.4 heures à 3 fr. 70, correspondant à un montant de 5'954 fr. 78, auquel s’ajoutent la part aux vacances de 633 fr. 59 (5'954.78 x 10.64%) et la part au 13 e salaire de 548 fr. 81 ([5'954.78 + 633.59] x 8.33%), ce qui équivaut à un salaire brut de 7'137 fr. 20, soit à un salaire brut total de 8'352 fr. 40 (1'215.20 + 7'137.20) pour l’année 2016. De janvier à mars 2017, aucune adaptation salariale ne doit être effectuée, compte tenu de l'échéance de l'extension de la CCT au 31 décembre 2016. Dès la remise en vigueur de celle-ci au 1 er avril 2017 et jusqu'au 31 décembre 2017, il s'agit d'adapter le taux-horaire appliqué de 23 fr. 30 à 26 fr. 95, soit une différence horaire de 3 fr. 65. L'appelant a effectué 1'537.3 heures à 3 fr. 65, correspondant à un montant de 5'611 fr. 15, auquel s’ajoutent la part aux vacances de 597 fr. 03 (5'611.15 x 10.64%) et la part au 13 e salaire de 517 fr. 14 ([5'611.15 + 597.03] x 8.33%), ce qui équivaut à un salaire brut de 6'725 fr. 30 . De janvier 2018 à mai 2018, il s'agit d'adapter le taux-horaire appliqué de 23 fr. 30 à 26 fr. 95, soit une différence horaire de 3 fr. 65. L'appelant a effectué 635.15 heures à 3 fr. 65, correspondant à un montant de 2'318 fr. 30, auquel s’ajoutent la part aux vacances de 246 fr. 67 (2'318.30 x 10.64%) et la part au 13 e salaire de 213 fr. 66 ([2'318.30 + 246.67] x 8.33%), ce qui équivaut à un salaire brut de 2'778 fr. 65 . L'intimée doit être condamnée à verser à l'appelant les sommes précitées. 4.3.4 L'appelant réclame sur ces sommes un intérêt à 5% l'an. L'art. 104 CO prévoit que le débiteur qui est en demeure pour le paiement d'une somme d'argent doit l'intérêt moratoire à 5% l'an. Cet intérêt court en principe durant la demeure du débiteur, à compter du jour suivant le terme d'exécution ou l'expiration du délai d'exécution prévu au contrat (Thévenoz, Commentaire romand, Code des obligations I, 3 e éd., Bâle 2021, n. 9 ad art. 104 CO). Lorsque des prétentions salariales sont réclamées, l'intérêt est dû dès la fin du mois pour lequel le salaire est exigible et, s'agissant du 13 e salaire, dès la fin de l'année écoulée (art. 323 al. 1 CO ; Novier, Les conclusions dans les procès de droit du travail – Questions choisies, in : Les procédures en droit du travail, 2020, p. 47). En l'espèce, l'appelant a sollicité l'intérêt sur chaque arriéré de salaire annuel dès le 1 er janvier de l'année suivante, ce qui est conforme à l'art. 104 CO. 5. 5.1 Au vu de ce qui précède, l'appel doit être admis et le jugement réformé dans le sens qui précède. 5.2 S'agissant d'un litige portant sur un contrat de travail dont la valeur litigieuse est inférieure à 30'000 fr., il n'est pas perçu de frais judiciaires de première et deuxième instances (art. 114 let. b CPC). Les deux parties ont été représentées, en première et en deuxième instances, par un mandataire professionnellement qualifié au sens des art. 68 al. 2 let. d CPC et 36 al. 3 CDPJ (pour la qualité de postuler de ces représentants devant la CACI, cf. CACI 1 er février 2012/57). Selon l'art. 95 al. 3 let. b CPC, les dépens comprennent le défraiement d'un représentant professionnel, par quoi il faut comprendre également les représentants syndicaux ou patronaux (CACI 1 er février 2012/57 consid. 6c, JdT 2012 III 35 ; Stoudmann, in Petit commentaire du Code de procédure civile, 2020, n. 27 ad art. 95 CPC). L'appelant, qui réclamait 27'926 fr. 15, en obtient 25'421 fr. 30, soit environ 90% de ses conclusions. Les dépens de première instance, évalués par les premiers juges à 1'500 fr., doivent être réduits selon cette proportion et l'intimée doit être condamnée à verser à l'appelant des dépens de 1'350 francs. Des dépens de deuxième instance, estimés à 800 fr. (art. 7 TDC [tarif des dépens en matière civile du 23 novembre 2010 ; BLV 270.11.6]), doivent être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