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20 vom 13. Januar 2022</w:t>
      </w:r>
    </w:p>
    <w:p>
      <w:r>
        <w:t>VD Tribunal cantonal, 2022-01-13, FR</w:t>
      </w:r>
    </w:p>
    <w:p>
      <w:r>
        <w:rPr>
          <w:b/>
        </w:rPr>
        <w:t xml:space="preserve">Quelle: </w:t>
      </w:r>
      <w:r>
        <w:t>https://mcp.opencaselaw.ch/entscheid/vd_findinfo_HC___2022___20</w:t>
      </w:r>
    </w:p>
    <w:p>
      <w:r>
        <w:t>FR: VD_FINDINFO HC / 2022 / 20 du 13 janvier 2022</w:t>
      </w:r>
    </w:p>
    <w:p>
      <w:r>
        <w:t>IT: VD_FINDINFO HC / 2022 / 20 del 13 gennaio 2022</w:t>
      </w:r>
    </w:p>
    <w:p>
      <w:pPr>
        <w:pStyle w:val="Heading2"/>
      </w:pPr>
      <w:r>
        <w:t>Regeste</w:t>
      </w:r>
    </w:p>
    <w:p>
      <w:r>
        <w:t>CAS CLAIR, EXPULSION DE LOCATAIRE, VALEUR LITIGIEUSE | 257d al. 1 CO, 257d al. 2 CO, 308 al. 1 let. a CPC (CH), 308 al. 2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entreprise a été rendue en procédure sommaire, comme c'est le cas dans la procédure en cas clair (art. 248 let. b CPC), le délai d'appel est de dix jours (art. 314 al. 1 CPC), délai qui commence à courir au lendemain de la notification de la décision. Selon l’art. 138 al. 3 let. a CPC, l’acte envoyé en recommandé est réputé notifié à l’expiration d’un délai de sept jours à compter de l’échec de la remise de l’envoi recommandé, lorsque le destinataire de cet envoi devait s’y attendre et qu’il ne l’a pas retiré.</w:t>
      </w:r>
    </w:p>
    <w:p>
      <w:r>
        <w:rPr>
          <w:b/>
        </w:rPr>
        <w:t>E. 1.2</w:t>
      </w:r>
    </w:p>
    <w:p>
      <w:r>
        <w:t>En l’espèce, la valeur litigieuse est supérieure à 10'000 fr., compte tenu d’un loyer mensuel de 1'990 fr. (loyer net, frais accessoires, acomptes de chauffage et place de parc compris), de sorte que la voie de l’appel est ouverte. L’ordonnance attaquée a été rendue dans la procédure applicable aux cas clairs. L’appelant, alors qu’il devait s’attendre à sa notification, n’a pas retiré l’envoi dans le délai de garde de sept jours expirant le 23 septembre 2021. L’ordonnance est ainsi réputée notifiée à cette date. Le délai d’appel de dix jours a dès lors échu le</w:t>
      </w:r>
    </w:p>
    <w:p>
      <w:r>
        <w:rPr>
          <w:b/>
        </w:rPr>
        <w:t>E. 4</w:t>
      </w:r>
    </w:p>
    <w:p>
      <w:r>
        <w:t>Au vu de ce qui précède, l’appel, manifestement infondé, doit être rejeté, et l’ordonnance querellée doit être confirmée. La date de libération des locaux étant passée en raison de l’effet suspensif conféré par la loi à l’appel, il convient de renvoyer la cause au premier juge, afin qu’il fixe aux appelants un nouveau délai de libération des locaux en cause. L’arrêt peut être rendu sans frais (art. 10 TFJC [tarif des frais judiciaires civils du 28 septembre 2010 ; BLV 270.11.5], ni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