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190 vom 16. März 2022</w:t>
      </w:r>
    </w:p>
    <w:p>
      <w:r>
        <w:t>VD Tribunal cantonal, 2022-03-16, FR</w:t>
      </w:r>
    </w:p>
    <w:p>
      <w:r>
        <w:rPr>
          <w:b/>
        </w:rPr>
        <w:t xml:space="preserve">Quelle: </w:t>
      </w:r>
      <w:r>
        <w:t>https://mcp.opencaselaw.ch/entscheid/vd_findinfo_HC___2022___190</w:t>
      </w:r>
    </w:p>
    <w:p>
      <w:r>
        <w:t>FR: VD_FINDINFO HC / 2022 / 190 du 16 mars 2022</w:t>
      </w:r>
    </w:p>
    <w:p>
      <w:r>
        <w:t>IT: VD_FINDINFO HC / 2022 / 190 del 16 marzo 2022</w:t>
      </w:r>
    </w:p>
    <w:p>
      <w:pPr>
        <w:pStyle w:val="Heading2"/>
      </w:pPr>
      <w:r>
        <w:t>Regeste</w:t>
      </w:r>
    </w:p>
    <w:p>
      <w:r>
        <w:t>CONSTATATION DES FAITS, CRÉANCE DANS LA FAILLITE, DILIGENCE, SURENDETTEMENT | 717 CO, 754 CO, 757 CO, 310 CPC (CH)</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dans les trente jours à compter de la notification de la décision motivée (art. 311 al. 1 CPC).</w:t>
      </w:r>
    </w:p>
    <w:p>
      <w:r>
        <w:rPr>
          <w:b/>
        </w:rPr>
        <w:t>E. 1.2</w:t>
      </w:r>
    </w:p>
    <w:p>
      <w:r>
        <w:t>En l’espèce, interjeté en temps utile et dans les formes prescrites par une partie qui a un intérêt digne de protection (art. 59 al. 2 let. a CPC), dirigé contre une décision finale de première instance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3</w:t>
      </w:r>
    </w:p>
    <w:p>
      <w:r>
        <w:t>Aux pages 4 à 6 de son appel, l’appelante a exposé un état de fait, qui se réfère, selon elle, au jugement querellé.</w:t>
      </w:r>
    </w:p>
    <w:p>
      <w:r>
        <w:rPr>
          <w:b/>
        </w:rPr>
        <w:t>E. 3.1</w:t>
      </w:r>
    </w:p>
    <w:p>
      <w:r>
        <w:t>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5A_503/2018 du 25 septembre 2018 consid. 6.3 ; TF 5A_573/2017 du 19 octobre 2017 consid. 3.1).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en effet à l’autorité d’appel de comparer l’état de fait qui lui est présenté avec celui de la décision attaquée pour y déceler les éventuelles modifications apportées et en déduire les critiques de l’appelant (CACI 4 mai 2021/212 consid. 3.2 ; CACI 8 juin 2020/223 consid. 2.2 ; CACI 29 juin 2017/273 consid. 3.2).</w:t>
      </w:r>
    </w:p>
    <w:p>
      <w:r>
        <w:rPr>
          <w:b/>
        </w:rPr>
        <w:t>E. 3.2</w:t>
      </w:r>
    </w:p>
    <w:p>
      <w:r>
        <w:t>En l’espèce, l’appelante s’est contentée de présenter, aux pages 4 à</w:t>
      </w:r>
    </w:p>
    <w:p>
      <w:r>
        <w:rPr>
          <w:b/>
        </w:rPr>
        <w:t>E. 6</w:t>
      </w:r>
    </w:p>
    <w:p>
      <w:r>
        <w:t>En définitive, l’appel doit être rejeté et le jugement entrepris confirmé. Les frais judiciaires de deuxième instance, arrêtés à 1’341 fr. (art. 62 al. 1 TFJC [tarif des frais judiciaires civils du 28 septembre 2010 ; BLV 270.11.5]), seront mis à la charge de l’appelante, qui succombe (art. 106 al. 1 CPC). L’appelante versera en outre à l’intimée la somme de 2’500 fr. à titre de dépens de deuxième instance (art. 3 et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