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185 vom 25. Januar 2022</w:t>
      </w:r>
    </w:p>
    <w:p>
      <w:r>
        <w:t>VD Tribunal cantonal, 2022-01-25, FR</w:t>
      </w:r>
    </w:p>
    <w:p>
      <w:r>
        <w:rPr>
          <w:b/>
        </w:rPr>
        <w:t xml:space="preserve">Quelle: </w:t>
      </w:r>
      <w:r>
        <w:t>https://mcp.opencaselaw.ch/entscheid/vd_findinfo_HC___2022___185</w:t>
      </w:r>
    </w:p>
    <w:p>
      <w:r>
        <w:t>FR: VD_FINDINFO HC / 2022 / 185 du 25 janvier 2022</w:t>
      </w:r>
    </w:p>
    <w:p>
      <w:r>
        <w:t>IT: VD_FINDINFO HC / 2022 / 185 del 25 gennaio 2022</w:t>
      </w:r>
    </w:p>
    <w:p>
      <w:pPr>
        <w:pStyle w:val="Heading2"/>
      </w:pPr>
      <w:r>
        <w:t>Regeste</w:t>
      </w:r>
    </w:p>
    <w:p>
      <w:r>
        <w:t>CERTIFICAT D'HÉRITIER, LEGS, CONJOINT SURVIVANT | 484 CC, 559 al. 1 CC, 133 CDPJ</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1 er septembre 2014/302 ; CREC 9 mai 2014/203 ; CREC 17 avril 2014/143). Le recours doit s’exercer dans les dix jours à compter de la notification de la décision motivée (art. 321 al. 1 et 2 CPC), auprès de la Chambre des recours civile (art. 73 al. 1 LOJV [loi vaudoise d'organisation judiciaire du 12 septembre 1979 ; BLV 173.01]).</w:t>
      </w:r>
    </w:p>
    <w:p>
      <w:r>
        <w:rPr>
          <w:b/>
        </w:rPr>
        <w:t>E. 1.2</w:t>
      </w:r>
    </w:p>
    <w:p>
      <w:r>
        <w:t>En l’espèce, le recours, formé en temps utile par une personne disposant d’un intérêt digne de protection (art. 59 al.</w:t>
      </w:r>
    </w:p>
    <w:p>
      <w:r>
        <w:rPr>
          <w:b/>
        </w:rPr>
        <w:t>E. 2</w:t>
      </w:r>
    </w:p>
    <w:p>
      <w:r>
        <w:t>Sous l’angle des motifs, le recours est recevable pour violation du droit (art. 320 let. a CPC) et constatation manifestement inexacte des faits (art. 320 let. b CPC). S’agissant de la violation du droit, l’autorité de recours dispose d’un plein pouvoir d’examen (Spühler, in Basler Kommentar, Schweizerische Zivilprozessordnung (ZPO), 3 e édition, 2017, n. 26 ad art. 319 CPC) ; elle revoit librement les questions de droit soulevées par le recourant et peut substituer ses propres motifs à ceux de l’autorité précédente ou du recourant (Hohl, Procédure civile, tome II, 2 e édition, 2010, n. 2508, p. 452). S’agissant de la constatation manifestement inexacte des faits, ce grief, comme pour l’art. 97 al. 1 LTF, ne permet que de corriger une erreur évidente, la notion se recoupant en définitive avec l’appréciation arbitraire des preuves (Corboz et al., Commentaire de la LTF, 2 e édition, 2014, n. 27 ad art. 97 LTF).</w:t>
      </w:r>
    </w:p>
    <w:p>
      <w:r>
        <w:rPr>
          <w:b/>
        </w:rPr>
        <w:t>E. 3.1</w:t>
      </w:r>
    </w:p>
    <w:p>
      <w:r>
        <w:t>Le certificat d’héritier constitue une attestation de l’autorité constatant que les personnes mentionnées sur le document sont les seuls héritiers du de cujus et peuvent disposer de ses biens (Steinauer, Le droit des successions, 2 e édition 2015, n. 901, p. 482 et les réf. cit.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La délivrance du certificat d'héritier n'est précédée d'aucune analyse de la situation de droit matériel et il peut au besoin être corrigé en tout temps (Steinauer, op. cit., n. 902 pp. 482-483 et les réf. cit.). La jurisprudence considère, à l'instar de la doctrine, que la procédure d'établissement du certificat d'héritier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(Piotet, Droit successoral,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Müller/Lieb-Lindenmeyer, ZGB-Kommentar, 2 e édition, n. 14 ad art. 559 CC). La loi distingue l’héritier institué pour l’universalité ou une quote-part de la succession (art. 483 CC) du légataire qui reçoit un bien déterminé dépendant de la succession ou un usufruit (art. 484 CC). Les héritiers acquièrent de plein droit l’universalité de la succession dès son ouverture (art. 560 CC), alors que les légataires ont une action personnelle contre les débiteurs de legs ou les héritiers légaux ou institués (art. 562 CC). L’art. 559 al. 1 CC prévoit que l’attestation de la qualité d’héritier, soit le certificat d’héritier, est délivrée aux héritiers institués. L’art. 133 CDPJ a la même portée. En vertu de l’art. 483 al. 2 CC, toute disposition portant sur l’universalité ou une quote-part de la succession, notamment la réserve, est réputée institution d’héritier (ATF 100 II 98 consid. 1 ; TF 4C.85/1989 du 24 octobre 1989 consid. 2). Aussi, en cas d’attribution d’une fraction du patrimoine successoral, d’une quote-part ou d’un rapport de valeur, la volonté du disposant de prévoir une institution d’héritier est présumée, nonobstant l’utilisation des termes « héritier » ou « successeur universel » (Steinauer, op. cit., n. 527 p. 287). L’élément déterminant pour distinguer une institution d’héritier d’un legs est la volonté du disposant, sans s’attacher à la lettre du texte, bien que les termes utilisés soient plus décisifs dans un acte notarié que dans un testament sous seing privé (Steinauer, op. cit., n. 527a p. 287 et la réf. cit.). Selon Paul-Henri Steinauer (op. cit., n. 902b), le certificat d’héritier mentionne les héritiers institués et, s’il y en a, les héritiers légaux qui sont en concours avec eux. Selon le même auteur (n. 103 p. 483), les légataires – y compris le conjoint survivant ayant reçu l’usufruit selon l’art. 473 CC –, ne figurent pas sur le certificat. Denis Piotet (Droit privé judiciaire vaudois annoté, Bâle 2021 n. 25 ad art. 133 CDPJ, p. 318) va dans le même sens en préconisant de ne pas mentionner le conjoint survivant légataire de l’usufruit de l’art. 473 CC. La jurisprudence du Tribunal fédéral a posé les principes suivants : Même implicitement exclu de l’hérédité de la succession par une disposition pour cause de mort le mettant au bénéfice de l’art. 473 CC,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 survivant (au contraire de l’ATF 143 III 369 consid. 2.1 concernant une fille totalement exclue de la succession de son père par acte à cause de mort ; dans le même sens que l’arrêt TF 5A_570/2017 du 27 août 2018 concernant ne veuve légataire s’usufruit : ATF 104 II 75 consid. 11.3b qui laisse toutefois ouverte cette question discutée en doctrine ; ATF 86 II 344 consid. 5). La jurisprudence a par ailleurs retenu que la désignation précise et exhaustive de tous les héritiers de la succession, y compris le conjoint survivant bénéficiaire d’un legs d’usufruit selon l’art. 473 CC, est un élément qui doit obligatoirement figurer dans le certificat d’héritier (ATF 118 II 108 consid. 2b ; TF 5A_570/2017 précité consid. 7.2 ; TF 5A_533/2015 du 7 décembre 2015 consid. 4.2 et les réf. cit.). Plus précisément, le conjoint survivant peut répudier le legs et requérir sa réserve, mais s’il ne le fait pas, il renonce à sa qualité d’héritier. C’est ainsi seulement lorsque le conjoint survivant a renoncé à faire valoir son droit à la réserve qu’il perd sa qualité d’héritier (TF 5A_570/2017 précité consid. 7.3).</w:t>
      </w:r>
    </w:p>
    <w:p>
      <w:r>
        <w:rPr>
          <w:b/>
        </w:rPr>
        <w:t>E. 3.2</w:t>
      </w:r>
    </w:p>
    <w:p>
      <w:r>
        <w:t>En l’espèce, le de cujus n’a pas laissé au conjoint survivant l’usufruit de toute la part dévolue à leurs enfants communs au sens de l’art. 473 al. 1 CC, puisqu’il a limité cet usufruit aux immeubles et qu’il a complété ce legs par la propriété d’avoirs bancaires. La recourante, qui se réfère expressément au testament, n’a pas revendiqué ses droits d’héritière réservataire, si bien qu’elle ne demeure pas héritière légale du de cujus et qu’elle n’est pas au bénéfice d’une clause à cause de mort lui laissant un legs d’usufruit selon l’art. 473 CC. Il y a dès lors lieu de considérer qu’elle a renoncé à sa part réservataire et qu’elle est légataire et non pas héritière bénéficiaire d’un legs d’usufruit sur tous les biens de la succession. Il en résulte que la recourante ne peut être assimilée à un héritier institué pour figurer sur le certificat d’héritier.</w:t>
      </w:r>
    </w:p>
    <w:p>
      <w:r>
        <w:rPr>
          <w:b/>
        </w:rPr>
        <w:t>E. 4</w:t>
      </w:r>
    </w:p>
    <w:p>
      <w:r>
        <w:t>Le recours doit par conséquent être rejeté conformément à l’art. 322 al. 1 in fine CPC et le certificat d’héritier attaqué confirmé. Les frais judiciaires de deuxième instance, arrêtés à 500 fr. (art. 74 al. 1 TFJC [ tarif des frais judiciaires civils du 28 septembre 2010 ; BLV 270.11.5] ), sont mis à la charge de la recourante qui succombe (art. 106 al. 1 CPC). Par ces motifs, la Chambre des recours civile du Tribunal cantonal, en application de l'art. 322 al. 1 CPC, prononce : I. Le recours est rejeté. II. Le certificat d’héritier est confirmé. III. Les frais judiciaires de deuxième instance, arrêtés à 500 fr. (cinq cents francs), sont mis à la charge de la recourante A.K.________. IV. L’arrêt est exécutoire. Le président :               La greffière : Du L'arrêt qui précède, dont la rédaction a été approuvée à huis clos, est notifié à : ‑ A.K.________.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