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182 vom 9. Februar 2022</w:t>
      </w:r>
    </w:p>
    <w:p>
      <w:r>
        <w:t>VD Tribunal cantonal, 2022-02-09, FR</w:t>
      </w:r>
    </w:p>
    <w:p>
      <w:r>
        <w:rPr>
          <w:b/>
        </w:rPr>
        <w:t xml:space="preserve">Quelle: </w:t>
      </w:r>
      <w:r>
        <w:t>https://mcp.opencaselaw.ch/entscheid/vd_findinfo_HC___2022___182</w:t>
      </w:r>
    </w:p>
    <w:p>
      <w:r>
        <w:t>FR: VD_FINDINFO HC / 2022 / 182 du 9 février 2022</w:t>
      </w:r>
    </w:p>
    <w:p>
      <w:r>
        <w:t>IT: VD_FINDINFO HC / 2022 / 182 del 9 febbraio 2022</w:t>
      </w:r>
    </w:p>
    <w:p>
      <w:pPr>
        <w:pStyle w:val="Heading2"/>
      </w:pPr>
      <w:r>
        <w:t>Regeste</w:t>
      </w:r>
    </w:p>
    <w:p>
      <w:r>
        <w:t>AVOCAT, CONFLIT D'INTÉRÊTS, DÉCISION D'IRRECEVABILITÉ, DOMMAGE IRRÉPARABLE, INTERVENTION{PROCÉDURE}, MAXIME DE DISPOSITION, REPRÉSENTATION EN PROCÉDURE | 319 let. b ch. 2 CPC (CH), 58 al. 1 CPC (CH), 75 CPC (CH)</w:t>
      </w:r>
    </w:p>
    <w:p>
      <w:pPr>
        <w:pStyle w:val="Heading2"/>
      </w:pPr>
      <w:r>
        <w:t>Erwägungen</w:t>
      </w:r>
    </w:p>
    <w:p>
      <w:r>
        <w:rPr>
          <w:b/>
        </w:rPr>
        <w:t>E. 1.1.1</w:t>
      </w:r>
    </w:p>
    <w:p>
      <w:r>
        <w:t>L’art. 319 let. b ch. 1 CPC ouvre la voie du recours contre les décisions de première instance dans les cas prévus par la loi. L’art. 75 al. 2 CPC prévoit que la décision statuant sur une requête en intervention accessoire peut faire l’objet d’un recours. La décision statuant sur une requête d’intervention étant une ordonnance d’instruction (CREC 13 septembre 2019/253 consid. 1 et les références citées ; Gross/Zuber, in Berner Kommentar, Schweizerische Zivilprozessordnung, Berne 2012, n. 15 s. ad art. 74 CPC ; Frei, in Spühler et al. [édit.], Basler Kommentar, Schweizerische Zivilprozessordnung, 3 e éd., Bâle 2017 (cité ci-après : BSK-ZPO), n. 8 ad art. 75 CPC), le délai de recours est de dix jours (art. 321 al. 2 CPC).</w:t>
      </w:r>
    </w:p>
    <w:p>
      <w:r>
        <w:rPr>
          <w:b/>
        </w:rPr>
        <w:t>E. 1.1.2</w:t>
      </w:r>
    </w:p>
    <w:p>
      <w:r>
        <w:t>En procédure civile, la décision relative à la capacité de postuler de l’avocat entre dans la catégorie des décisions d’instruction au sens de l’art. 124 al. 1 CPC ;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 Ce type de décision peut être attaqué par la voie du recours de l’art. 319 let. b al. 2 CPC, le délai de recours étant de dix jours (art. 321 al. 2 CPC). La recevabilité de ce recours est soumise à l’existence d’un risque de préjudice difficilement réparable pour le recourant (cf.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(TF 1B_191/2020 du 26 août 2020 consid. 1 ; TF 1B_20/2017 du 23 février 2017 consid. 1.1 ; contra TF 4A_404/2020 du 17 septembre 2020 consid. 4, qui exige que l’existence d’un préjudice difficilement réparable soit démontrée, à moins qu’elle soit évidente). Une telle règle générale ne saurait prévaloir dans l’hypothèse inverse, soit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4A_635/2021 du 5 janvier 2022 consid. 5.2 ; TF 4A_313/2020 du 1 er octobre 2020 consid. 3 ; TF 4A_589/2018 du 29 mai 2019 consid. 4).</w:t>
      </w:r>
    </w:p>
    <w:p>
      <w:r>
        <w:rPr>
          <w:b/>
        </w:rPr>
        <w:t>E. 1.2.1</w:t>
      </w:r>
    </w:p>
    <w:p>
      <w:r>
        <w:t>Le recours est recevable en tant qu’il est dirigé contre la partie de la décision admettant l’intervention en procédure des intimés. L’acte a en effet été déposé en temps utile par une partie au bénéfice d’un intérêt digne de protection (art. 59 al. 2 let. a CPC).</w:t>
      </w:r>
    </w:p>
    <w:p>
      <w:r>
        <w:rPr>
          <w:b/>
        </w:rPr>
        <w:t>E. 1.2.2</w:t>
      </w:r>
    </w:p>
    <w:p>
      <w:r>
        <w:t>Les écritures déposées postérieurement au délai de recours, respectivement de réponse, ne sont recevables que dans la mesure où elles n’excèdent pas l’exercice du droit inconditionnel de répliquer des parties. Il en a été tenu compte dans cette mesure.</w:t>
      </w:r>
    </w:p>
    <w:p>
      <w:r>
        <w:rPr>
          <w:b/>
        </w:rPr>
        <w:t>E. 2.1</w:t>
      </w:r>
    </w:p>
    <w:p>
      <w:r>
        <w:t>Le recours peut être formé pour violation du droit et constatation manifestement inexacte des faits (art. 320 CPC). S’agissant de la violation du droit, l’autorité de recours dispose d’un plein pouvoir d’examen (Spühler, BSK-ZPO, n. 26 ad art. 319 CPC). Elle revoit librement les questions de droit soulevées par le recourant et peut substituer ses propres motifs à ceux de l’autorité précédente ou du recourant (Hohl, Procédure civile, tome II, 2 e éd., Berne 2010, p. 452, n. 2508). Lorsque la décision attaquée relève du pouvoir d’appréciation du juge, l’autorité de recours fait preuve d’une certaine retenue (TF 5A_265/2012 du 30 mai 2012 consid. 4.3.2).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2.2</w:t>
      </w:r>
    </w:p>
    <w:p>
      <w:r>
        <w:t>Les conclusions, les allégations de faits et les preuves nouvelles sont irrecevables en procédure de recours (art. 326 al. 1 CPC). Partant, les pièces produites le 23 décembre 2021 par la recourante – dont l’avis de droit du 22 décembre 2021, faute pour ce document d’avoir été déposé dans le délai de recours (TF 2C_77/2017 du 16 janvier 2019 consid. 1.4, in Revue suisse de procédure civile [RSPC] 2019 p. 270) – sont irrecevables. S’agissant des pièces produites par les intimés à l’appui de la réponse, seules celles figurant d’ores et déjà au dossier sont recevables ; les pièces 108 (soit un courrier daté du 28 novembre 2021) et 112 (soit un courrier daté du 23 décembre 2021) en particulier sont ainsi irrecevables.</w:t>
      </w:r>
    </w:p>
    <w:p>
      <w:r>
        <w:rPr>
          <w:b/>
        </w:rPr>
        <w:t>E. 3.1</w:t>
      </w:r>
    </w:p>
    <w:p>
      <w:r>
        <w:t>La recourante soulève une série de griefs contre la décision litigieuse en tant qu’elle reconnaît le statut d’intervenants accessoires aux intimés. L’art 75 CPC n’aurait pas été respecté, dès lors que la décision attaquée aurait été rendue sans avoir fait l’objet d’une requête préalable ; la décision entreprise serait arbitraire dans la mesure où, nonobstant la teneur non équivoque du courrier du 18 juin 2021 (cf. supra ch. 6b), elle qualifie cet écrit de requête d’intervention. En ordonnant une intervention non requise, le premier juge aurait non seulement violé l’art 58 al. 1 CPC, mais également le droit d’être entendu de la recourante, celle-ci n’ayant pas été invitée à se déterminer sur cette prétendue requête. Par ailleurs, la décision attaquée serait insuffisamment motivée. La recourante fait également valoir qu’à supposer que le courrier susmentionné doive être interprété comme une requête d’intervention, le président n’en aurait pas moins violé l’art. 75 al. 1 CPC en l’admettant nonobstant son absence de motivation. Par ailleurs, de l’avis de la recourante, la prétendue intervention des intimés serait dénuée de d’objet, faute pour la communauté actionnée d’avoir pris à ce stade des conclusions au fond.</w:t>
      </w:r>
    </w:p>
    <w:p>
      <w:r>
        <w:rPr>
          <w:b/>
        </w:rPr>
        <w:t>E. 3.2.1</w:t>
      </w:r>
    </w:p>
    <w:p>
      <w:r>
        <w:t>Aux termes de l’art. 74 CPC, quiconque rend vraisemblable un intérêt juridique à ce qu’un litige pendant soit jugé en faveur de l’une des parties peut en tout temps intervenir à titre accessoire et présenter au tribunal une requête à cet effet. Par définition, l’intervenant accessoire ne fait pas valoir des prétentions propres, mais soutient les conclusions d’une des parties principales, qu’il a intérêt à voir triompher. L’intervenant peut accomplir tous les actes de procédure compatibles avec l’état du procès qui sont utiles à la partie principe soutenue ; il peut notamment faire valoir tous les moyens d’attaque et de défense, ainsi qu’interjeter recours (art. 76 al. 1 CPC). Les actes de l’intervenant ne sont cependant pas considérés s’ils contredisent les déterminations de la partie principale (art. 76 al. 2 CPC). L’intervenant doit rendre vraisemblable un intérêt juridique à ce que la partie aux côtés de laquelle il veut intervenir ait gain de cause (ATF 142 III 40 consid. 3.2.1 ; Hohl, Procédure civile, tome I, 2 e éd., Berne 2016 [cité ci-après : Hohl-I], p. 166 s.). Une preuve stricte n’est pas exigée (Zuber/Gross, op. cit, n. 3 ad art. 75 CPC ; Göksu, in Brunner et al. [édit.], Schweizerische Zivilprozessordnung [ZPO], 2 e éd., Zurich/Saint‑Gall 2016, nn. 14 et 16 ad art. 74 CPC). La requête d’intervention accessoire doit toutefois comprendre un exposé du motif de l’intervention ( Interventionsgrund ; cf. Haldy, Procédure civile suisse, Bâle 2014, p. 104). Singulièrement, les faits fondant l’intérêt juridique à intervenir doivent être allégués, le cas échéant preuves à l’appui (Göksu, op. cit., n. 5 ad art. 75 CPC ; Domej, in Oberhammer et al. [édit.], Schweizerische Zivilprozessordnung [ZPO], Kurzkommentar, 2 e éd., Bâle 2014, n. 12 ad art. 74 et n. 2 ad art. 75 CPC). Hormis la capacité d’être partie et d’ester en justice, la condition essentielle requise pour intervenir est ainsi celle de rendre vraisemblable un intérêt juridique à ce que le litige pendant soit jugé en faveur de l’une des parties. Un intérêt purement factuel ou économique ne suffit pas. L’intervenant a un intérêt juridique lorsqu’en cas de perte du procès, ses propres droits pourraient être lésés ou compromis ; le jugement à intervenir doit donc influer sur les droits et obligations de l’intervenant (sur le tout : ATF 143 III 140 consid. 4.1.2 et les références citées). Lorsqu’il contrôle l’admissibilité de l’intervention accessoire, le juge se borne à vérifier (d’office) que l’intervenant rend vraisemblable son intérêt juridique à intervenir. Pour admettre la vraisemblance d’un tel intérêt, il suffit qu’il existe une certaine probabilité, fondée sur des indices objectifs qu’il appartient à l’intervenant de fournir, que ses droits sont susceptibles d’être lésés en cas de perte du procès par la partie soutenue (ATF 143 III 140 consid. 4.1.3 et les références citées).</w:t>
      </w:r>
    </w:p>
    <w:p>
      <w:r>
        <w:rPr>
          <w:b/>
        </w:rPr>
        <w:t>E. 3.2.2</w:t>
      </w:r>
    </w:p>
    <w:p>
      <w:r>
        <w:t>Selon la maxime de disposition (art. 58 al. 1 CPC), il appartient aux parties, et à elles seules, de décider si elles veulent initier un procès et ce qu’elles entendent y réclamer ou reconnaître (TF 5A_664/2021 du 15 novembre 2021 consid. 3.1). Les parties déterminent donc si, quand, dans quelle étendue et pour quelle durée elles veulent faire valoir une prétention, respectivement veulent la reconnaître (ATF 134 III 151 consid. 3.2 ; TF 4A_397/2016 du 30 novembre 2016 consid. 2.1 ; TF 4A_307/2011 du 16 décembre 2011 consid. 2.4, in RSPC 2012 p. 293 notes Bohnet et Droese). Les parties doivent formuler des conclusions précises et déterminées, qui puissent être reprises dans le dispositif de jugement en cas d’admission de la demande ou de la requête (ATF 142 III 102 consid. 5.3.1). Cette exigence découle notamment du principe de disposition précité (TF 4A_428/2018 du 29 août 2019 consid. 4.2.1, in RSPC 2020 p. 24). Si le juge est lié par les conclusions des parties, il peut toutefois être amené à statuer sur la base de conclusions implicites (TF 4A_428/2018 du 29 août 2019 consid. 4.2.1, in RSPC 2020 p. 24).</w:t>
      </w:r>
    </w:p>
    <w:p>
      <w:r>
        <w:rPr>
          <w:b/>
        </w:rPr>
        <w:t>E. 3.2.3</w:t>
      </w:r>
    </w:p>
    <w:p>
      <w:r>
        <w:t>Le droit d’être entendu est une garantie constitutionnelle (art. 29 al. 2 Cst.) de nature formelle ayant une double fonction, soit éclaircir l’état de fait et garantir aux participants à la procédure un droit, lié à la personnalité, de participer au prononcé d’une décision affectant leur position juridique (ATF 142 I 86 consid. 2.2 ; ATF 140 I 99 consid. 3.4). La violation du droit d’être entendu implique l’annulation de la décision attaquée, sans égard à la question de savoir si son respect aurait conduit à une autre décision (ATF 127 V 431 consid. 3d/aa). Le droit d’être entendu, concrétisé à l’art. 53 CPC en procédure civile, garantit notamment au justiciable le droit de s’expliquer avant qu’une décision ne soit prise à son détriment (ATF 142 III 48 consid. 4.1.1 ; ATF 139 II 489 consid. 3.3 ; ATF 139 I 189 consid. 3.2 ; ATF 138 I 484 consid. 2.1 ; TF 5A_925/2015 du 4 mars 2016 consid. 2.3.3.1, non publié in ATF 142 III 195 ; cf. ég. ATF 145 I 167 consid. 4.1).</w:t>
      </w:r>
    </w:p>
    <w:p>
      <w:r>
        <w:rPr>
          <w:b/>
        </w:rPr>
        <w:t>E. 3.3</w:t>
      </w:r>
    </w:p>
    <w:p>
      <w:r>
        <w:t>En l’espèce, s’agissant de l’existence d’une requête d’intervention, les circonstances étaient particulières puisque les intimés intervenaient, de fait, dans les procédures introduites par la recourante depuis le début, dans un contexte de représentation litigieuse – et donc bloquée – de la communauté actionnée, que cette intervention de facto était contestée par la recourante, et que la prise de position du 18 juin 2021 des intimés tendait en quelque sorte au maintien de cette « intervention ». Cela étant, le fait que les intimés se soient comportés en intervenants et qu’ils aient confirmé leur volonté de participer aux procédures précitées le 18 juin 2021, ne saurait pallier l’absence de requête d’intervention en bonne et due forme. L’institution de l’intervention n’est d’ailleurs même pas mentionnée dans le courrier en question, rédigé par un avocat. De plus, ce courrier n’expose pas un quelconque intérêt juridique des intimés à intervenir aux côtés de la communauté défenderesse. En autorisant les intimés à intervenir à titre accessoire en l’absence de toute conclusion, ne serait-ce qu’implicite, en ce sens, le président a violé l’art 58 al. 1 CPC. A supposer que le courrier du 18 juin 2021 doive être interprété comme une requête d’intervention dûment motivée contenant des conclusions suffisantes, force serait de constater que la décision querellée consacrerait de toute manière une violation du droit d’être entendu de la recourante, celle-ci n’ayant pas été invitée à se déterminer sur le courrier précité, l’art. 75 al. 2 CPC rappelant pourtant cette obligation. Il s’ensuit que le grief de la recourante est fondé, la décision devant être annulée en tant qu’elle autorise les intimés à intervenir dans les causes pendantes devant le premier juge.</w:t>
      </w:r>
    </w:p>
    <w:p>
      <w:r>
        <w:rPr>
          <w:b/>
        </w:rPr>
        <w:t>E. 4</w:t>
      </w:r>
    </w:p>
    <w:p>
      <w:r>
        <w:t>Il s’ensuit que le recours doit être partiellement admis et le chiffre I de la décision annulé. Vu le sort réservé au recours, les frais judiciaires de deuxième instance, arrêtés à 1'000 fr. (art. 6 al. 3, 69 al. 1 et 70 al. 2 TFJC [tarif des frais judiciaires civils du 28 septembre 2010 ; BLV 270.11.5]), seront mis par 500 fr. à la charge de la recourante et par 500 fr. à la charge des intimés, solidairement entre eux (art. 106 al. 2 et 3 CPC). Les frais précités seront compensés avec l’avance de frais versée par la recourante (art. 111 al. 1 CPC) et les intimés devront lui verser la somme de 500 fr. à titre de restitution partielle de ladite avance (art. 111 al. 2 CPC). Vu le sort de la cause, les dépens de deuxième instance seront compensés (art. 106 al. 2 CPC). Par ces motifs, la Chambre des recours civile du Tribunal cantonal, prononce : I. Le recours est partiellement admis. II. Le chiffre I de la décision est annulé, la décision étant confirmée pour le surplus. III. Les frais judiciaires de deuxième instance, arrêtés à 1'000 fr. (mille francs), sont mis par 500 fr. (cinq cents francs) à la charge de la recourante Q.________ et par 500 fr. (cinq cents francs) à la charge des intimés A.C.________ et B.C.________, A.J.________ et B.J.________ et R.________, solidairement entre eux. IV. Les intimés A.C.________ et B.C.________, A.J.________ et B.J.________ et R.________, solidairement entre eux, doivent verser à la recourante Q.________ la somme de 500 fr. (cinq cents francs) à titre de remboursement partiel d’avance de frais. V. Les dépens de deuxième instance sont compensés. VI. L’arrêt est exécutoire. Le président :               La greffière : Du L’arrêt qui précède, dont la rédaction a été approuvée à huis clos, est notifié à : ‑ Me Frank Tièche (pour Q.________), ‑ Me Patrice Girardet (pour A.C.________ et B.C.________, A.J.________ et B.J.________ et R.________).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