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2022 / 138 vom 3. März 2022</w:t>
      </w:r>
    </w:p>
    <w:p>
      <w:r>
        <w:t>VD Tribunal cantonal, 2022-03-03, FR</w:t>
      </w:r>
    </w:p>
    <w:p>
      <w:r>
        <w:rPr>
          <w:b/>
        </w:rPr>
        <w:t xml:space="preserve">Quelle: </w:t>
      </w:r>
      <w:r>
        <w:t>https://mcp.opencaselaw.ch/entscheid/vd_findinfo_HC___2022___138</w:t>
      </w:r>
    </w:p>
    <w:p>
      <w:r>
        <w:t>FR: VD_FINDINFO HC / 2022 / 138 du 3 mars 2022</w:t>
      </w:r>
    </w:p>
    <w:p>
      <w:r>
        <w:t>IT: VD_FINDINFO HC / 2022 / 138 del 3 marzo 2022</w:t>
      </w:r>
    </w:p>
    <w:p>
      <w:pPr>
        <w:pStyle w:val="Heading2"/>
      </w:pPr>
      <w:r>
        <w:t>Regeste</w:t>
      </w:r>
    </w:p>
    <w:p>
      <w:r>
        <w:t>PRÊT DE CONSOMMATION, FARDEAU DE LA PREUVE, REJET DE LA DEMANDE, RECONNAISSANCE DE DETTE, SIMULATION, APPRÉCIATION DES PREUVES | 17 CO, 18 al. 1 CO, 312 CO, 83 al. 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mai 2007 était un acte simulé, dénué d’effet juridique en vertu de l’art. 18 al. 1 CO, ce qui la privait de son effet probatoire.</w:t>
      </w:r>
    </w:p>
    <w:p>
      <w:r>
        <w:rPr>
          <w:b/>
        </w:rPr>
        <w:t>E. 5.1</w:t>
      </w:r>
    </w:p>
    <w:p>
      <w:r>
        <w:t>En définitive, l’appel doit être rejeté et le jugement litigieux confirmé.</w:t>
      </w:r>
    </w:p>
    <w:p>
      <w:r>
        <w:rPr>
          <w:b/>
        </w:rPr>
        <w:t>E. 5.2</w:t>
      </w:r>
    </w:p>
    <w:p>
      <w:r>
        <w:t>Les frais judiciaires de deuxième instance, arrêtés à 3'000 fr. (art. 62 al. 1 TFJC [tarif des frais judiciaires civils du 28 septembre 2010 ; BLV 270.11.5]), sont mis à la charge de l’appelante (art. 106 al. 1 CPC). L’appelante devra en outre verser aux intimées, solidairement entre elles, de pleins dépens de deuxième instance, arrêtés à 6'000 fr. (art. 7 TDC [tarif des dépens en matière civile du 23 novembre 2010 ; BLV 270.11.6]), eu égard à la valeur litigieuse et à la difficulté de la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