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974 vom 4. November 2021</w:t>
      </w:r>
    </w:p>
    <w:p>
      <w:r>
        <w:t>VD Tribunal cantonal, 2021-11-04, FR</w:t>
      </w:r>
    </w:p>
    <w:p>
      <w:r>
        <w:rPr>
          <w:b/>
        </w:rPr>
        <w:t xml:space="preserve">Quelle: </w:t>
      </w:r>
      <w:r>
        <w:t>https://mcp.opencaselaw.ch/entscheid/vd_findinfo_HC___2021___974</w:t>
      </w:r>
    </w:p>
    <w:p>
      <w:r>
        <w:t>FR: VD_FINDINFO HC / 2021 / 974 du 4 novembre 2021</w:t>
      </w:r>
    </w:p>
    <w:p>
      <w:r>
        <w:t>IT: VD_FINDINFO HC / 2021 / 974 del 4 novembre 2021</w:t>
      </w:r>
    </w:p>
    <w:p>
      <w:pPr>
        <w:pStyle w:val="Heading2"/>
      </w:pPr>
      <w:r>
        <w:t>Regeste</w:t>
      </w:r>
    </w:p>
    <w:p>
      <w:r>
        <w:t>PRINCIPE DE LA CÉLÉRITÉ, PROCÈS DEVENU SANS OBJET, SUSPENSION DE LA PROCÉDURE, REJET DE LA DEMANDE | 126 CPC (CH)</w:t>
      </w:r>
    </w:p>
    <w:p>
      <w:pPr>
        <w:pStyle w:val="Heading2"/>
      </w:pPr>
      <w:r>
        <w:t>Erwägungen</w:t>
      </w:r>
    </w:p>
    <w:p>
      <w:r>
        <w:rPr>
          <w:b/>
        </w:rPr>
        <w:t>E. 1.1</w:t>
      </w:r>
    </w:p>
    <w:p>
      <w:r>
        <w:t>Selon l’art. 319 let. b ch. 1 CPC (Code de procédure civile du 19 décembre 2008 ; RS 272), peuvent notamment faire l’objet d’un recours les ordonnances d’instruction de première instance, dans les cas prévus par la loi. Tel est le cas des décisions de suspension, lesquelles sont des ordonnances d’instruction ( ATF 141 III 270 consid. 3.3) dont l’art. 126 al. 2 CPC prévoit qu’elles sont attaquables par la voie du recours. Le recours, écrit et motivé, doit être introduit auprès de l’instance de recours, soit la Chambre des recours civile (art. 73 al. 1 LOJV [loi d’organisation judiciaire du 12 décembre 1979 ; BLV 173.01]), dans les dix jours à compter de la notification de la décision motivée (art. 321 al. 2 CPC).</w:t>
      </w:r>
    </w:p>
    <w:p>
      <w:r>
        <w:rPr>
          <w:b/>
        </w:rPr>
        <w:t>E. 1.2</w:t>
      </w:r>
    </w:p>
    <w:p>
      <w:r>
        <w:t>En l’espèce, le recours a été i nterjeté en temps utile auprès de l’autorité compétente pour en connaître. Se pose toutefois la question de la qualité pour recourir du recourant. En effet, seules les parties à la procédure principale disposent de cette qualité, tout comme leurs successeurs à titre universel ou particulier, ainsi que les parties intervenantes ou appelées en cause. Les tiers n’ont qualité pour recourir que si leurs intérêts juridiques sont touchés directement par la décision contestée (CREC 28 septembre 2016/389, in JdT 2017 III 35 note Piotet ; CACI 2 mai 2012/204). La question de l’éventuelle atteinte des intérêts du recourant et, partant, de sa qualité pour recourir, peut toutefois souffrir de demeurer ouverte, compte tenu de ce qui suit.</w:t>
      </w:r>
    </w:p>
    <w:p>
      <w:r>
        <w:rPr>
          <w:b/>
        </w:rPr>
        <w:t>E. 2.1</w:t>
      </w:r>
    </w:p>
    <w:p>
      <w:r>
        <w:t>Sous l’angle des motifs, le recours est recevable pour violation du droit et constatation manifestement inexacte des faits (art. 320 CPC). L'autorité de recours dispose d'un plein pouvoir d'examen s'agissant de la violation du droit (Spühler, in Spühler et al. [édit.],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 e éd., Berne 2014, n. 27 ad art. 97 LTF).</w:t>
      </w:r>
    </w:p>
    <w:p>
      <w:r>
        <w:rPr>
          <w:b/>
        </w:rPr>
        <w:t>E. 2.2</w:t>
      </w:r>
    </w:p>
    <w:p>
      <w:r>
        <w:t>Selon l’art. 326 al. 1 CPC, les conclusions, les allégations de faits et les preuves nouvelles sont irrecevables. Cela étant, les pièces jointes au recours constituant des pièces dites « de forme », elles sont recevables.</w:t>
      </w:r>
    </w:p>
    <w:p>
      <w:r>
        <w:rPr>
          <w:b/>
        </w:rPr>
        <w:t>E. 3.1</w:t>
      </w:r>
    </w:p>
    <w:p>
      <w:r>
        <w:t>Le recourant fait valoir que la procédure serait devenue sans objet, dès lors que la requête du 22 février 2021 tendrait principalement à faire inscrire feu W.________ comme administrateur de B.________ SA, respectivement à le faire constater à titre rétroactif ; de l’avis du recourant, le décès du susnommé empêcherait de donner suite à sa prétention, dès lors que la qualité d’administrateur serait personnelle et qu’elle ne pourrait ainsi passer à ses héritiers. Par ailleurs, le recourant soutient que la suspension de la procédure contreviendrait au principe de célérité. Il fait en particulier valoir qu’un temps important pourrait s’écouler avant que le certificat d’héritier(s) puisse être délivré et que des travaux urgents de toiture devraient être entrepris pour le compte de B.________ SA.</w:t>
      </w:r>
    </w:p>
    <w:p>
      <w:r>
        <w:rPr>
          <w:b/>
        </w:rPr>
        <w:t>E. 3.2</w:t>
      </w:r>
    </w:p>
    <w:p>
      <w:r>
        <w:t>Selon l’art. 126 al. 1 CPC, le tribunal peut ordonner la suspension de la procédure si des motifs d’opportunité le commandent. La procédure peut notamment être suspendue lorsque la décision dépend du sort d’un autre procès. Cette suspension doit correspondre à un vrai besoin (Message du 28 juin 2006 relatif au Code de procédure civile suisse, FF 2006 6841, p. 6916).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 TF 4A_386/2020 du 17 août 2020 consid. 6), le juge disposant à cet égard d’un pouvoir d’appréciation. Ces principes sont également applicables en procédure sommaire (TF 5A_411/2020 du 6 mai 2021 consid. 2.1).</w:t>
      </w:r>
    </w:p>
    <w:p>
      <w:r>
        <w:rPr>
          <w:b/>
        </w:rPr>
        <w:t>E. 3.3.1</w:t>
      </w:r>
    </w:p>
    <w:p>
      <w:r>
        <w:t>L’argument du recourant selon lequel la procédure serait devenue sans objet ne peut être suivi. On comprend en effet, à la lecture de la requête du 22 février 2021, que feu W.________ entendait protéger les avoirs de B.________ SA des actes du recourant afin, indirectement, de protéger ses propres droits, vu sa qualité d’actionnaire de la société. Dite qualité est passée à ses héritiers, de même que l’intérêt à protéger les droits patrimoniaux y relatifs d’une gestion inappropriée de la société par son administrateur actuel, soit le recourant. Celui-ci passe à cet égard sous silence le fait que la requête susmentionnée tend notamment à ce que le recourant se voie interdit de gérer B.________ SA jusqu’à droit connu sur l’action au fond à intervenir, soit une action tendant au constat de la nullité des décisions prises lors de l’assemblée générale extraordinaire du 21 décembre 2020. Le 22 février 2021, l’autorité précédente a fait droit à cette conclusion au stade superprovisionnel, de sorte que le recourant ne peut pour l’instant disposer des avoirs de la société, ce afin de protéger les intérêts de feu W.________, désormais transmis à ses héritiers. C’est dire qu’il est faux de soutenir que la procédure est devenue sans objet. Le grief se révèle infondé.</w:t>
      </w:r>
    </w:p>
    <w:p>
      <w:r>
        <w:rPr>
          <w:b/>
        </w:rPr>
        <w:t>E. 3.3.2</w:t>
      </w:r>
    </w:p>
    <w:p>
      <w:r>
        <w:t>S’agissant de la violation du principe de célérité invoquée par le recourant, celui-ci allègue des faits nouveaux irrecevables (cf. art. 326 CPC) en tant qu’il se prévaut de prétendus travaux urgents, les faits en question n’étant au demeurant pas établis. Pour le surplus, aucune urgence du recourant à pouvoir agir pour la société n’est établie, de sorte qu’un tel motif ne s’oppose pas, en l’état, à la suspension de la procédure. On ne saurait pas non plus retenir que le principe de célérité s’opposait à la reddition de la décision entreprise au motif que la délivrance du certificat d’héritier(s) pourrait prendre un certain temps ; un tel potentiel retard, outre qu’il n’est pas établi, ne suffit en effet pas à renoncer à prononcer une suspension de la procédure du fait du décès, rappelons-le, du requérant à l’action. Il s’ensuit le rejet de ce grief également.</w:t>
      </w:r>
    </w:p>
    <w:p>
      <w:r>
        <w:rPr>
          <w:b/>
        </w:rPr>
        <w:t>E. 4</w:t>
      </w:r>
    </w:p>
    <w:p>
      <w:r>
        <w:t>Au vu de ce qui précède, le recours, manifestement infondé, est rejeté en application de l’art. 322 al. 1 in fine CPC et la décision confirmée. La requête d’assistance judiciaire du recourant est rejetée, compte tenu de l’absence de chances de succès du recours (art. 117 let. b CPC). Les frais judiciaires de deuxième instance, arrêtés à 300 fr. (art. 72 TFJC [tarif des frais judiciaires civils du 28 septembre 2010 ; BLV 270.11.5]), sont mis à la charge du recourant, qui succombe (art. 106 al. 1 CPC). Il n’y a pas lieu à l’allocation de dépens, B.________ SA n’ayant pas été invitée à se déterminer sur le recours.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300 fr. (trois cents francs), sont mis à la charge du recourant R.________. V. L’arrêt est exécutoire. Le président :               La greffière : Du L’arrêt qui précède, dont la rédaction a été approuvée à huis clos, est notifié à : ‑ Me Sarah Meyer (pour R.________), ‑ Me Charles-Henri de Luze (pour B.________ SA).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