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969 vom 20. Dezember 2021</w:t>
      </w:r>
    </w:p>
    <w:p>
      <w:r>
        <w:t>VD Tribunal cantonal, 2021-12-20, FR</w:t>
      </w:r>
    </w:p>
    <w:p>
      <w:r>
        <w:rPr>
          <w:b/>
        </w:rPr>
        <w:t xml:space="preserve">Quelle: </w:t>
      </w:r>
      <w:r>
        <w:t>https://mcp.opencaselaw.ch/entscheid/vd_findinfo_HC___2021___969</w:t>
      </w:r>
    </w:p>
    <w:p>
      <w:r>
        <w:t>FR: VD_FINDINFO HC / 2021 / 969 du 20 décembre 2021</w:t>
      </w:r>
    </w:p>
    <w:p>
      <w:r>
        <w:t>IT: VD_FINDINFO HC / 2021 / 969 del 20 dicembre 2021</w:t>
      </w:r>
    </w:p>
    <w:p>
      <w:pPr>
        <w:pStyle w:val="Heading2"/>
      </w:pPr>
      <w:r>
        <w:t>Regeste</w:t>
      </w:r>
    </w:p>
    <w:p>
      <w:r>
        <w:t>OBLIGATION D'ENTRETIEN, MESURE PROVISIONNELLE | 285 CC</w:t>
      </w:r>
    </w:p>
    <w:p>
      <w:pPr>
        <w:pStyle w:val="Heading2"/>
      </w:pPr>
      <w:r>
        <w:t>Erwägungen</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suisse du 19 décembre 2008 ; RS 272) (Tappy, Les voies de droit du nouveau Code de procédure civile, in JdT 2010 III 115, spéc. p. 121), dans les causes non patrimoniales ou dont la valeur litigieuse, au dernier état des conclusions devant l’autorité de première instance, est de 10'000 fr. au moins (art. 308 al. 2 CPC). Les ordonnances de mesures protectrices de l’union conjugale étant régies par la procédure sommaire (art. 271 let. a CPC), le délai pour l'introduction de l'appel est de dix jours, de même que pour le dépôt de la réponse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w:t>
      </w:r>
    </w:p>
    <w:p>
      <w:r>
        <w:rPr>
          <w:b/>
        </w:rPr>
        <w:t>E. 2.1</w:t>
      </w:r>
    </w:p>
    <w:p>
      <w:r>
        <w:t>et 2.2). Depuis le 1 er juin 2021, les charges de l’appelant s’élèvent donc à 3'354 fr. 65 (3'338 fr. 15 + 16 fr. 50 [assurance complémentaire]) (cf. supra ch. 4bb). Quant aux charges de l’intimée, elles s’élèvent, pour la période du 1 er au 30 juin 2021, à 3'933 fr. 30 (3'913 fr. 40 + 19 fr. 90 [assurance complémentaire]) (cf. supra ch. 4ca et 4cb). Après sa prise d’emploi, il a été tenu compte d’une somme de 74 fr. pour le transport en bus, puisque contrairement à ce que soutient l’appelant en page 7 de sa réplique, il ressort de la fiche de salaire de l’intimée que celle-ci travaille au centre-ville et non à côté de son domicile (cf. supra ch. 3b). Il a en outre été tenu compte d’un montant pour les frais de repas, correspondant à 75 % du montant de 217 fr. (21,7 jours x 10 fr.) retenu pour l’appelant, soit 162 fr. 75. Dès le 1 er juin 2021, le budget de l’appelant, après la couverture de ses charges, présente un disponible de 2'550 fr. 55 (5'905 fr. – 3'354 fr. 65). Quant au budget de l’intimée, il présente, du 1 er au 30 juin 2021, un manco de 1'254 fr. 60 (2'678 fr. 70 – 3'933 fr. 30). Du 1 er au 30 juin 2021, les coûts directs de U.________ s’élèvent à 1'152 fr. 30 (1'452 fr. – 300 fr.), arrêtés sur la base du minimum vital du droit de la famille (cf. supra ch. 4db). Aux coûts directs, il convient d’ajouter le montant qui correspond au déficit de la mère au titre de contribution de prise en charge, de sorte que le montant assurant l’entretien convenable de U.________ s’élève à 2'406 fr. 90 (1'152 fr. 30 + 1'254 fr. 60). Du 1 er au 30 juin 2021, l’appelant doit donc couvrir les charges de U.________ à hauteur de 1'866 fr. 90 (2'406 fr. 90 [coût total de l’entretien de l’enfant] – 300 fr. – 240 fr.). Après couverture des charges de U.________, le budget de l’appelant présente un disponible de 143 fr. 65. Il se justifie d’allouer à l’enfant 1/5 du disponible du père (cf. supra consid. 5.2.7), le solde devant être entièrement conservé par l’appelant, qui exerce une activité accessoire en plus d’une activité à temps plein et qui prend en charge U.________ une semaine sur deux. Il n’y a pas lieu d’allouer une partie de l’excédent à l’épouse, qui n’a pas fait appel de la décision entreprise ne lui allouant pas de pension pour elle-même, alors même que les contrats de bail et de travail ont été signés avant l’échéance du délai d’appel et qu’elle savait que ces éléments pouvaient entraîner une diminution de la pension en faveur de U.________ et donc une augmentation du disponible de l’appelant. Il s’ensuit que la contribution d’entretien en faveur de U.________ doit être arrêtée à 1'895 fr. 65 (1'866 fr. 90 + [143 fr. 65/5]) du 1 er au 30 juin 2021. Dans la mesure où l’entretien convenable, qu’on doit indiquer en situation de manc o, est celui calculé selon le minimum vital LP et non celui du droit de la famille, le montant assurant l’entretien convenable de U.________ n’aura plus à figurer dans le dispositif pour la période postérieure à celle du 31 mai 2021 (cf. supra consid. 5.2.3).</w:t>
      </w:r>
    </w:p>
    <w:p>
      <w:r>
        <w:rPr>
          <w:b/>
        </w:rPr>
        <w:t>E. 2.2</w:t>
      </w:r>
    </w:p>
    <w:p>
      <w:r>
        <w:t>L’art. 296 al. 1 CPC prévoit une maxime inquisitoire illimitée en ce qui concerne les questions relatives aux enfants (TF 5A_20/2020 du 28 août 2020 consid. 4.2 ; TF 5A_245/2019 du 1 er juillet 2019 consid. 3.2.1 et les réf. citées). Le juge n'est lié ni par les faits allégués ni par les faits admis par les parties (ATF 128 III 411 consid. 3.2.1 ; TF 5A_20/2020, déjà cité, consid. 4.2 ; TF 5A_245/2019, déjà cité, consid. 3.2.1 et la réf. doctrinale citée ; TF 5A_31/2014 du 11 juillet 2014 consid. 3.3). Il n’est pas lié par les conclusions des parties (art. 296 al. 3 CPC ; TF 5A_524/2017 du 9 octobre 2017 consid. 3.1). L’application de la maxime inquisitoire illimitée ne dispense toutefois pas les parties d’une collaboration active à la procédure et d’étayer leurs propres thèses ; il leur incombe ainsi de renseigner le juge sur les faits de la cause et de lui indiquer les moyens de preuve disponibles (ATF 128 III 411 consid. 3.2.1 ; Juge délégué CACI 30 septembre 2021/475 consid. 2).</w:t>
      </w:r>
    </w:p>
    <w:p>
      <w:r>
        <w:rPr>
          <w:b/>
        </w:rPr>
        <w:t>E. 2.3.1</w:t>
      </w:r>
    </w:p>
    <w:p>
      <w:r>
        <w:t>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arrêts cités).</w:t>
      </w:r>
    </w:p>
    <w:p>
      <w:r>
        <w:rPr>
          <w:b/>
        </w:rPr>
        <w:t>E. 2.3.2</w:t>
      </w:r>
    </w:p>
    <w:p>
      <w:r>
        <w:t>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 TF 5A_337/2020 du 2 décembre 2020 consid. 4.2.2).</w:t>
      </w:r>
    </w:p>
    <w:p>
      <w:r>
        <w:rPr>
          <w:b/>
        </w:rPr>
        <w:t>E. 2.3.3</w:t>
      </w:r>
    </w:p>
    <w:p>
      <w:r>
        <w:t>En l’espèce, la cause a trait aux contributions d’entretien due en faveur d’une enfant mineure, de sorte que la maxime inquisitoire illimitée et la maxime d’office sont applicables. Les pièces nouvelles produites par l’intimée en deuxième instance sont dès lors recevables. S’agissant des pièces requises, le contrat et son avenant ont été produits de sorte qu’il n’y a plus lieu d’ordonner la production de la pièce 151. Les décomptes de salaire suffisent ici, si bien qu’il sera également renoncé à la production de la pièce 152. La production d’autres décomptes de chômage que ceux qui figurent au dossier, de même que des relevés bancaires de l’intimée depuis le 1 er janvier 2021 (pièces 153 et 154) n’est, au vu des éléments déjà connus, pas nécessaire et n’a donc pas lieu d’être ordonnée. Il n’y a au surplus pas lieu d’ordonner la production des pièces requises 155 et 156, dans la mesure où le grief relatif au taux d’activité de l’intimée doit être rejeté (cf. infra consid. 4.3).</w:t>
      </w:r>
    </w:p>
    <w:p>
      <w:r>
        <w:rPr>
          <w:b/>
        </w:rPr>
        <w:t>E. 3.1</w:t>
      </w:r>
    </w:p>
    <w:p>
      <w:r>
        <w:t>L’appelant conteste son revenu tel qu’arrêté par l’autorité de première instance. Après avoir, dans son appel, soutenu qu’il ne percevait plus de rémunération pour son activité d’entraîneur de football, il a confirmé qu’il exerçait toujours cette activité accessoire dans sa réplique du 8 septembre 2021. Selon l’appelant, il conviendrait toutefois de réduire de 10 % le salaire perçu pour tenir compte des frais liés à l’exercice de cette activité. De son côté, l’intimée fait valoir que les frais soi-disant engagés à hauteur de 10 % du revenu perçu ne seraient justifiés par aucune pièce et relève que le contrat d’entraîneur prévoit le remboursement de 1'500 fr. de frais par an.</w:t>
      </w:r>
    </w:p>
    <w:p>
      <w:r>
        <w:rPr>
          <w:b/>
        </w:rPr>
        <w:t>E. 3.2</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27 juillet 2020/318 consid. 4.2.1, JdT 2020 III 132 ; Juge délégué CACI 22 janvier 2020/31 consid. 5.2 ; Meier/Stettler, ibidem , note infrapaginale 3242 ; Chaix, in Pichonnaz/Foëx [édit.], Commentaire romand, Code civil I, 2010, n. 7 ad art. 176 CC).</w:t>
      </w:r>
    </w:p>
    <w:p>
      <w:r>
        <w:rPr>
          <w:b/>
        </w:rPr>
        <w:t>E. 3.3</w:t>
      </w:r>
    </w:p>
    <w:p>
      <w:r>
        <w:t>En l’espèce, l’appelant perçoit un revenu mensuel net de 4'510 fr. 75, part au treizième salaire incluse, pour son activité salariée au sein de la [...]. Il n’est plus contesté que l’appelant exerce toujours une activité d’entraîneur de football au sein du FC [...], puisqu’il a admis, dans son écriture du 8 septembre 2021, avoir à nouveau perçu une rémunération pour cette activité dès le mois de mai 2021. Il ressort de la formule officielle de contrat pour entraîneurs que l’appelant perçoit la somme annuelle brute de 19'500 fr., soit 1'625 fr. par mois (19'500 fr./12). Du 1 er janvier au 30 octobre 2020, l’appelant a perçu du [...] la somme de 13'944 fr. 50, selon ce qui ressort de ses extraits de comptes bancaires produits en première instance, ce qui correspond à un revenu mensuel moyen de 1'394 fr. 45 (13'944 fr. 50/10). C’est de ce dernier revenu dont il sera tenu compte, à titre de revenu net pour cette seconde activité, sans qu’il faille opérer de réduction au titre de frais. Comme le relève l’intimée, il est en effet indiqué au chiffre 3 du contrat précité que des frais annuels d’un montant total de 1'500 fr. peuvent être remboursés, quittances à l’appui. Ce revenu est légèrement supérieur à celui retenu dans l’ordonnance entreprise, puisque la première juge avait apparemment divisé le revenu perçu en 2020 par douze et non par dix, en tenant compte de ce qu’aucun revenu n’avait été perçu en novembre et en décembre. Or pour arrêter le revenu moyen, il n’y a pas lieu de tenir compte des mois pour lesquels aucun revenu n’a été perçu. En définitive, on retiendra que l’appelant perçoit un revenu mensuel net de 5'905 fr. 20 (4'510 fr. 75 + 1'394 fr. 45).</w:t>
      </w:r>
    </w:p>
    <w:p>
      <w:r>
        <w:rPr>
          <w:b/>
        </w:rPr>
        <w:t>E. 4.1</w:t>
      </w:r>
    </w:p>
    <w:p>
      <w:r>
        <w:t>L’appelant soutient que l’intimée serait apte à travailler à 100 %, compte tenu de l’âge de U.________ et de la mise en œuvre de la garde alternée. De son côté, l’intimée relève qu’elle a été engagée à 70 % à compter du 1 er juin 2021 et qu’elle travaille à 80 % depuis le 15 juin 2021. On ne pourrait ainsi pas exiger d’elle qu’elle travaille davantage.</w:t>
      </w:r>
    </w:p>
    <w:p>
      <w:r>
        <w:rPr>
          <w:b/>
        </w:rPr>
        <w:t>E. 4.2</w:t>
      </w:r>
    </w:p>
    <w:p>
      <w:r>
        <w:t>Comme déjà dit (cf. supra consid. 3.2), 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5A_754/2020 du 10 août 2021 consid. 4.3.2 ; TF 5A_484/2020 du 16 février 2021 consid. 5.1 ; TF 5A_433/2020 du 15 décembre 2020 consid. 4.1 ; TF 5A_600/2019 du 9 décembre 2020 consid. 5.1.1 et les réf. citées). Le juge doit ainsi examiner successivement deux conditions. Il doit d'abord déterminer si 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5A_754/2020, déjà cité, consid. 4.3.2 ; TF 5A_645/2020 du 19 mai 2021 consid. 5.2.1).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(ATF 144 III 481 consid. 4.7.9 ; TF 5A_514/2020 du 2 décembre 2020 consid. 3.1.1 ; TF 5A_329/2019 du 25 octobre 2019 consid. 3.3.1.2 ; TF 5A_931/2017 du 1 er novembre 2018 consid. 3.1.2).</w:t>
      </w:r>
    </w:p>
    <w:p>
      <w:r>
        <w:rPr>
          <w:b/>
        </w:rPr>
        <w:t>E. 4.3</w:t>
      </w:r>
    </w:p>
    <w:p>
      <w:r>
        <w:t>En l’espèce, l’intimée a trouvé un emploi à 70 % dès le 1 er juin 2021, taux d’activité augmenté à 80 % dès le 15 juin 2021. Le taux d’activité de l’intimée correspond à l’organisation qui avait été convenue entre les parties avant leur séparation puisqu’elle recherchait un emploi à 80 %. A cela s’ajoute que, bien que la garde alternée ait été instaurée, selon convention passée le 29 mars 2021, une semaine sur deux chez chaque parent et que l’appelant a emménagé dans son appartement le 15 avril 2021, il n’a pas exercé, de son aveu même, la garde prévue avant mi-juillet 2021, laissant ainsi l’intimée prendre en charge l’enfant lorsqu’il décidait de ne pas le faire comme il s’y était engagé. On notera encore que l’appelant semble décider lui-même du planning de la garde alternée, sans concertation avec la mère (cf. pièce 4 du bordereau du 23 juillet 2021), prévoyant ainsi unilatéralement que l’enfant sera chez sa mère les deux semaines de décembre précédent Noël, soit des semaines assez chargées en fin d’année. Force est dès lors de constater que l’intimée a dû faire preuve de flexibilité jusqu’à très récemment – et doit encore le faire compte tenu des décisions unilatérales de l’appelant – et qu’elle ne bénéficie ainsi pas, comme elle le devrait, de toute la liberté que pourrait lui offrir une garde alternée aménagée de manière concertée entre les époux et effectivement mise en place lorsqu’elle doit l’être. Dans ces circonstances, au vu de l’organisation vraisemblablement convenue entre les parties durant la vie commune, de l’instabilité de la situation entourant la prise en charge de U.________ et des efforts évidents que l’intimée a fait, dès le début de la procédure, pour retrouver un emploi et réduire ses charges, il ne se justifie pas en l’état, au stade des mesures protectrices de l’union conjugale, de lui imputer un revenu hypothétique supérieur à celui effectivement perçu pour son activité à 80 %. Le grief de l’appelant selon lequel il serait injuste de tenir compte pour lui d’une activité à 100 % et d’une activité accessoire et pour l’intimée uniquement d’un emploi à 80 % est infondé. D’une part, au stade de la vraisemblance il apparaît que c’est cette organisation et ces revenus qui avaient été décidés durant la vie commune sans que cela pose un problème au père. D’autre part, on doit en principe tenir compte en premier lieu des revenus effectifs. Il est donc justifié de prendre en compte l’entier de ceux réalisés par le père qui a renouvelé son activité accessoire après avoir accepté de prendre en charge la garde alternée de sa fille. En définitive, on retiendra que l’intimée percevait des indemnités de chômage moyennes de 1'886 fr. 10 jusqu’au 31 mai 2021, qu’elle a perçu un salaire net de 2'678 fr. 70 au mois de juin 2021 et qu’elle gagne, depuis le 1 er juillet 2021, 2'901 fr. 95 (2'678 fr. 70 x 13 /12) nets par mois, part au treizième salaire comprise.</w:t>
      </w:r>
    </w:p>
    <w:p>
      <w:r>
        <w:rPr>
          <w:b/>
        </w:rPr>
        <w:t>E. 5.1</w:t>
      </w:r>
    </w:p>
    <w:p>
      <w:r>
        <w:t>L’appelant conteste le montant de la contribution qu’il doit verser pour l’entretien de sa fille. L’autorité de première instance aurait, à tort, omis de tenir compte de la part des coûts dont il s’acquitte directement, soit la moitié du montant de base et la part de loyer de U.________. Il y aurait en outre lieu de supprimer toute contribution de prise en charge, puisque l’intimée serait à même de couvrir ses besoins. Compte tenu de l’exercice de la garde alternée, chaque partie devrait s’acquitter d’une partie des frais liés à l’entretien de l’enfant, si bien que, proportionnellement aux disponibles présentés par les budgets des parties, c’est une pension de 143 fr., respectivement de 77 fr. dès le 1 er août 2021, qui devrait être versée par le père. De son côté, l’intimée soutient que le calcul de la pension serait correct, puisque les coûts déjà pris en charge par le père auraient été déduits du budget de U.________. Elle admet toutefois que la pension arrêtée par la première juge lèse le minimum vital de l’appelant, de sorte qu’elle devrait être réduite, également pour tenir compte de sa récente prise d’emploi. Elle ajoute que son budget présenterait un manco , si bien qu’il appartiendrait à l’appelant de s’acquitter de l’entier des coûts de U.________, qui aurait de plus droit de participer à l’excédent.</w:t>
      </w:r>
    </w:p>
    <w:p>
      <w:r>
        <w:rPr>
          <w:b/>
        </w:rPr>
        <w:t>E. 5.2.1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5.2.2</w:t>
      </w:r>
    </w:p>
    <w:p>
      <w:r>
        <w:t>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déjà cité, consid. 5.4.1 ; TF 5A_727/2018 du 22 août 2019 consid. 4.3.2.3 et les réf.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déjà cité, consid. 6.3.1 ; TF 5A_743/2017 du 22 mai 2019 consid. 5.4.3).</w:t>
      </w:r>
    </w:p>
    <w:p>
      <w:r>
        <w:rPr>
          <w:b/>
        </w:rPr>
        <w:t>E. 5.2.3</w:t>
      </w:r>
    </w:p>
    <w:p>
      <w:r>
        <w:t>Composent l’entretien convenable de l’enfant les coûts directs générés par celui-ci et les coûts, indirects, liés à sa prise en charge (ATF 144 III 377 consid. 7). Si, et uniquement si, en raison de ressources financières insuffisantes, le montant assurant l’entretien convenable de l’enfant, calculé selon le minimum vital LP, ne peut pas être couvert (situation de manco ), il doit être indiqué dans la convention ou le jugement fixant l’entretien (art. 287a let. c CC et 301a let. c CPC ; ATF 147 III 265 consid. 5.6 ; TF 5A_441/2019 du 25 octobre 2019 consid. 3.2.2).</w:t>
      </w:r>
    </w:p>
    <w:p>
      <w:r>
        <w:rPr>
          <w:b/>
        </w:rPr>
        <w:t>E. 5.2.4</w:t>
      </w:r>
    </w:p>
    <w:p>
      <w:r>
        <w:t>Dans l’ATF 147 III 265 précité,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sauf en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293 consid. 4.5 in fine ; cf. ATF 147 III 265 consid. 6.6 in fine ).</w:t>
      </w:r>
    </w:p>
    <w:p>
      <w:r>
        <w:rPr>
          <w:b/>
        </w:rPr>
        <w:t>E. 5.2.5</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ATF 129 III 526 consid. 3 ; TF 5A_767/2016 du 30 janvier 2017 consid. 3.1.1 ; TF 5A_1029/2015 du 1 er juin 2016 consid. 4.3.1)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5.2.6</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consid. 7.2).</w:t>
      </w:r>
    </w:p>
    <w:p>
      <w:r>
        <w:rPr>
          <w:b/>
        </w:rPr>
        <w:t>E. 5.2.7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5.3.1</w:t>
      </w:r>
    </w:p>
    <w:p>
      <w:r>
        <w:t>Il convient de fixer la contribution d’entretien due par le père en faveur de U.________ du 1 er au 31 mai 2021, du 1 er au 30 juin 2021, du 1 er au 31 juillet 2021, du 1 er au 31 août 2021 et dès le 1 er septembre 2021. Dans la mesure où le montant de la contribution d’entretien varie chaque mois du 1 er mai au 31 août 2021, on fixera une pension moyenne (cf. infra consid. 5.4.7).</w:t>
      </w:r>
    </w:p>
    <w:p>
      <w:r>
        <w:rPr>
          <w:b/>
        </w:rPr>
        <w:t>E. 5.3.2</w:t>
      </w:r>
    </w:p>
    <w:p>
      <w:r>
        <w:t>Les parties semblent s’accorder sur le fait que la garde alternée prévue par la convention du 29 mars 2019 n’a été mise en place qu’à la mi-juillet 2021. L’intimée admet toutefois que l’appelant voyait régulièrement, sans en dire plus, l’enfant. Ainsi, on peut retenir que, dès le mois de mai 2021, l’appelant assumait, de manière irrégulière mais néanmoins assumait, la moitié du minimum vital de l’enfant, de sorte que le montant de 300 fr. doit être déduit du disponible du père avant versement de la contribution d’entretien. Quant à la part de U.________ au loyer de son père, celle-ci peut être comptabilisée dans les charges de l’intéressée et déduite du disponible du père à compter du 1 er mai 2021. Quoi qu’il en soit, ce montant aurait de toute manière dû être comptabilisé dans les charges de l’appelant, de sorte qu’arithmétiquement, cela n’a pas d’incidence sur le montant de la contribution. A noter que ce système n’est pas défavorable à l’appelant qui a peut-être pu économiser des montants de nourriture, afférant à la moitié du montant de base de l’enfant, de manière à lui permettre de bénéficier d’un petit budget pour racheter des meubles (cf. appel, pp. 3-4). Cela dit, on ne saurait faire grief à l’appelant de ne pas avoir immédiatement exercé la garde alternée dès lors que l’intimée semble s’y être opposée. Il s’ensuit que la pension doit être calculée pour tenir compte d’une garde alternée à compter du 1 er mai 2021. Dans la mesure où la mère ne dispose pas des ressources suffisantes pour couvrir ses propres charges et que le père a un disponible après couverture de ses propres charges, il appartient en principe au père de prendre en charge l’entier du coût de l’entretien de l’enfant, y compris lorsqu’elle se trouve sous la garde de sa mère.</w:t>
      </w:r>
    </w:p>
    <w:p>
      <w:r>
        <w:rPr>
          <w:b/>
        </w:rPr>
        <w:t>E. 5.4.1</w:t>
      </w:r>
    </w:p>
    <w:p>
      <w:r>
        <w:t>Pour toutes les périodes concernées, le revenu de l’appelant s’élève à 5'905 fr. 20 (cf. supra consid. 3.3).</w:t>
      </w:r>
    </w:p>
    <w:p>
      <w:r>
        <w:rPr>
          <w:b/>
        </w:rPr>
        <w:t>E. 5.4.2</w:t>
      </w:r>
    </w:p>
    <w:p>
      <w:r>
        <w:t>Du 1 er au 31 mai 2021, le revenu de l’intimée s’élève à 1'886 fr. 10 (cf. supra consid.  4.3). Les charges calculées selon le minimum vital LP de l’appelant s’élèvent à 3'338 fr. 15 (cf. supra ch. 4ba). Quant aux charges calculées selon le minimum vital LP de l’intimée, elles s’élèvent à 3'826 fr. 65 (cf. supra ch. 4ca). Du 1 er au 31 mai 2021, période durant laquelle l’intimée était au chômage, il a été tenu compte dans son budget d’une somme de 150 fr. pour ses recherches d’emploi, puisqu’il s’agit du montant admis par la jurisprudence cantonale, d’une charge du minimum vital LP (cf. Juge délégué CACI 7 juin 2021/285 consid. 8.2) et que cette somme avait été alléguée en première instance (cf. allégué 24 de la requête du 25 janvier 2021). Du 1 er au 31 mai 2021, les coûts directs de U.________, qui correspondent à ses charges calculées selon le minimum vital LP, déduction faite des allocations familiales de 300 fr., s’élèvent à 1'120 fr. 50 ( 1'420 fr. 50 – 300 fr.) (cf. supra ch. 4da). Du 1 er au 31 mai 2021, les ressources financières sont insuffisantes pour couvrir les minimas vitaux LP de tous les intéressés, de sorte que seules les charges relatives au minimum vital LP peuvent être prises en compte, le minimum vital LP de l’appelant devant aussi être préservé. Le budget de l’appelant, après la couverture de ses charges, présente un disponible de 2'567 fr. 05 (5'905 fr. 20 – 3'338 fr. 15). Quant au budget de l’intimée, il présente un manco de 1'940 fr. 55. L’entretien convenable de U.________ correspond donc à ses coûts directs auxquels est ajouté le montant qui correspond au déficit de la mère au titre de contribution de prise en charge, soit 3'061 fr. 05 (1'120 fr. 50 + 1'940 fr. 55) du 1 er au 31 mai 2021. Du 1 er au 31 mai 2021, l’appelant doit donc couvrir les charges de U.________ à hauteur de 2'027 fr. 05 (2'567 fr. 05 [disponible appelant] – 300 fr. [1/2 montant de base] – 240 fr. [part au loyer]). Il s’ensuit que la contribution d’entretien en faveur de U.________ doit être arrêtée à 2'027 fr. 05 du 1 er au 31 mai 2021.</w:t>
      </w:r>
    </w:p>
    <w:p>
      <w:r>
        <w:rPr>
          <w:b/>
        </w:rPr>
        <w:t>E. 5.4.3</w:t>
      </w:r>
    </w:p>
    <w:p>
      <w:r>
        <w:t>Du 1 er au 30 juin 2021, le revenu de l’intimée s’élève à 2'678 fr. 70 (cf. supra consid. 4.3). A compter du 1 er juin 2021, il y a lieu de tenir compte, car les revenus des parties le permettent, en plus des charges du minimum vital LP, des montants payés au titre des assurance complémentaires, ceux-ci étant établis par les pièces 5 et 15 du bordereau du 25 janvier 2021. Bien que toutes deux assistées d’un conseil, les parties n’ont allégué aucune autre charge, en particulier pas de charge fiscale, de sorte qu’il n’en sera pas tenu compte. On rappellera en effet que l’application de la maxime inquisitoire illimitée ne dispense pas les parties d’une collaboration active à la procédure et d’étayer leurs propres thèses et que le juge des mesures provisionnelles statue, sous l’angle de la vraisemblance, après une administration limitée des preuves (cf. supra consid.</w:t>
      </w:r>
    </w:p>
    <w:p>
      <w:r>
        <w:rPr>
          <w:b/>
        </w:rPr>
        <w:t>E. 5.4.4</w:t>
      </w:r>
    </w:p>
    <w:p>
      <w:r>
        <w:t>Depuis le 1 er juillet 2021, le revenu de l’intimée s’élève à 2'901 fr. 95 (cf. supra consid. 4.3). Il y a lieu, dès le 1 er juillet 2021, d’adapter les frais de repas de l’intimée pour tenir compte de son taux d’activité à 80 % et de les arrêter à 173 fr. 60 (217 fr. x 80%) – et non 190 fr. 95 comme allégué dans la réponse sur appel. Du 1 er au 31 juillet 2021, les charges de l’intimée s’élèvent ainsi à 3'944 fr. 15 (3'933 fr. 30 – 162 fr. 75 + 173 fr. 60). Du 1 er au 31 juillet 2021, le budget de l’intimée présente un manco de 1'042 fr. 20 (2'901 fr. 95 – 3'944 fr. 15). Du 1 er au 31 juillet 2021, les coûts directs de U.________ s’élèvent toujours à 1'120 fr. 50. Aux coûts directs, il convient d’ajouter le montant qui correspond au déficit de la mère au titre de contribution de prise en charge, de sorte que le montant assurant l’entretien convenable de U.________ s’élève à 2'194 fr. 50 (1'152 fr. 30 + 1'042 fr. 20) du 1 er au 31 juillet 2021. Du 1 er au 31 juillet 2021, l’appelant doit couvrir les charges de U.________ à hauteur de 1'654 fr. 50 (2'194 fr. 50 – 300 fr. – 240 fr.). Après couverture des charges de U.________, le budget de l’appelant présente un disponible de 356 fr. 05 (2'550 fr. 55 – 1'654 fr. 50 – 300 fr. – 240 fr.), dont un cinquième doit être alloué à l’enfant (cf. supra consid. 5.4.3). Il s’ensuit que la contribution d’entretien en faveur de U.________ doit être arrêtée à 1'725 fr. 20 (1'654 fr. + [356 fr. 05/5]) du 1 er au 31 juillet 2021.</w:t>
      </w:r>
    </w:p>
    <w:p>
      <w:r>
        <w:rPr>
          <w:b/>
        </w:rPr>
        <w:t>E. 5.4.5</w:t>
      </w:r>
    </w:p>
    <w:p>
      <w:r>
        <w:t>Au mois d’août 2021, il convient d’adapter les charges de l’intimée pour tenir compte de ce qu’elle a trouvé un nouveau logement dès le 16 août 2021. Du 1 er au 31 août 2021, son loyer s’élève à 1'789 fr. 25 ([{2'430 fr. + 1'780 fr.} / 2] x 85 %), de sorte que ses charges s’élèvent à 3'667 fr. 90 (3'944 fr. 15 – 2'065 fr. 50 + 1'789 fr. 25). Le budget de l’intimée présente ainsi un manco de 765 fr. 95 (2'901 fr. 95 – 3'667 fr. 90) du 1 er au 31 août 2021. Il convient également d’adapter les coûts directs de U.________ et d’arrêter la part au loyer de sa mère à 315 fr. 75 (2'430 fr. + 1'780 fr.} / 2] x 15 %). Il s’ensuit que du 1 er au 31 août 2021, les coûts directs de U.________, allocations familiales déduites, s’élèvent à 1'103 fr. 55 (1'152 fr. 30 – 364 fr. 50 + 315 fr. 75). Aux coûts directs, il convient d’ajouter le montant qui correspond au déficit de la mère au titre de contribution de prise en charge, de sorte que le montant assurant l’entretien convenable de U.________ s’élève à 1'869 fr. 50 (1'103 fr. 55 + 765 fr. 95) du 1 er au 31 août 2021. Du 1 er au 31 août 2021, l’appelant doit couvrir les charges de U.________ à hauteur de 1'329 fr. 50 (1'869 fr. 50 – 300 fr. – 240 fr.). Après couverture des charges de U.________, le budget de l’appelant présente un disponible de 681 fr. 05 (2'550 fr. 55 – 1'329 fr. 50 – 300 fr. – 240 fr.), dont un cinquième doit revenir à l’enfant (cf. supra consid. 5.4.3). Il s’ensuit que la contribution d’entretien en faveur de U.________ doit être arrêtée à 1'465 fr. 70 (1'329 fr. 50 + [681 fr. 05/5]) du 1 er au 31 août 2021.</w:t>
      </w:r>
    </w:p>
    <w:p>
      <w:r>
        <w:rPr>
          <w:b/>
        </w:rPr>
        <w:t>E. 5.4.6</w:t>
      </w:r>
    </w:p>
    <w:p>
      <w:r>
        <w:t>Dès le 1 er septembre 2021, il faut tenir compte du nouveau loyer de l’intimée de 1'513 fr. (1'780 fr. x 85 %). Les charges de l’intimée s’élèvent donc à 3'391 fr. 65 (3'371 fr. 75 – 1'789 fr. 25 + 1'513 fr.). Depuis le 1 er septembre 2021, le budget de l’intimée présente ainsi un manco de 489 fr. 70 (2'901 fr. 95 – 3'391 fr. 65). Dès le 1 er septembre 2021, il convient également d’adapter les coûts directs de U.________ et d’arrêter la part au loyer de sa mère à 267 fr. (1'780 fr. x 15 %). Il s’ensuit que, depuis le 1 er septembre 2021, les coûts directs de U.________, allocations familiales déduites, s’élèvent à 1'054 fr. 80 (1'103 fr. 55 – 315 fr. 75 + 267 fr.). Aux coûts directs, il convient d’ajouter le montant qui correspond au déficit de la mère au titre de contribution de prise en charge, de sorte que le montant assurant l’entretien convenable de U.________ s’élève à 1'544 fr. 50 (1'054 fr. 80 + 489 fr. 70) dès le 1 er septembre 2021. Dès le 1 er septembre 2021, l’appelant doit couvrir les charges de U.________ à hauteur de 1'004 fr. 50 (1'544 fr. 50 – 300 fr. – 240 fr.). Après couverture des charges de U.________, le budget de l’appelant présente un disponible de 1'006 fr. 05 (2'550 fr. 55 – 1'004 fr. 50 – 300 fr. – 240 fr.), dont un cinquième doit revenir à l’enfant (cf. supra consid. 5.4.3). Il s’ensuit que la contribution d’entretien en faveur de U.________ doit être arrêtée à 1'205 fr. 70 (1'004 fr. 50 + [1'006 fr. 05 /5]) dès le 1 er septembre 2021.</w:t>
      </w:r>
    </w:p>
    <w:p>
      <w:r>
        <w:rPr>
          <w:b/>
        </w:rPr>
        <w:t>E. 5.4.7</w:t>
      </w:r>
    </w:p>
    <w:p>
      <w:r>
        <w:t>En définitive, la pension sera arrêtée à 1'778 fr. 40 [2'027 fr. 05 + 1'895 fr. 65 + 1'725 fr. 20 + 1'465 fr. 70] / 4), montant arrondi à 1'780 fr., du 1 er mai au 31 août 2021 et à 1'205 fr. 70, montant arrondi à 1'205 fr., dès le 1 er septembre 2021. L’entier des allocations familiales sera versé à l’intimée qui s’acquittera directement des factures d’assurance-maladie et des frais liés à la répétitrice de U.________ (cf. supra consid. 5.2.2).</w:t>
      </w:r>
    </w:p>
    <w:p>
      <w:r>
        <w:rPr>
          <w:b/>
        </w:rPr>
        <w:t>E. 6.1</w:t>
      </w:r>
    </w:p>
    <w:p>
      <w:r>
        <w:t>Au vu de ce qui précède, l’appel doit être partiellement admis et l’ordonnance entreprise réformée au chiffre II de son dispositif en ce sens que le montant assurant l’entretien convenable de U.________ s’élève à 3'061 fr. 05 du 1 er au 31 mai 2021 et au chiffre III de son dispositif en ce sens que la pension en faveur de U.________ s’élève à 1'780 fr. du 1 er mai au 31 août 2021 et à 1'205 fr. depuis le 1 er septembre 2021, l’entier des allocations familiales étant versé à l’intimée, qui s’acquittera directement des factures d’assurance-maladie et de soutien scolaire de U.________.</w:t>
      </w:r>
    </w:p>
    <w:p>
      <w:r>
        <w:rPr>
          <w:b/>
        </w:rPr>
        <w:t>E. 6.2.1</w:t>
      </w:r>
    </w:p>
    <w:p>
      <w:r>
        <w:t>Les deux parties ont requis le bénéfice de l’assistance judiciaire pour la procédure d’appel .</w:t>
      </w:r>
    </w:p>
    <w:p>
      <w:r>
        <w:rPr>
          <w:b/>
        </w:rPr>
        <w:t>E. 6.2.2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w:t>
      </w:r>
    </w:p>
    <w:p>
      <w:r>
        <w:rPr>
          <w:b/>
        </w:rPr>
        <w:t>E. 6.2.3</w:t>
      </w:r>
    </w:p>
    <w:p>
      <w:r>
        <w:t>Dans la mesure où la situation financière de l’appelant doit être appréciée au moment du dépôt de la requête d’assistance judiciaire, moment auquel son budget ne présentait qu’un disponible de 230 fr. 55 (2'550 fr. 55 – 1'780 fr. – 300 fr. – 240 fr.), il convient d’admettre la requête et de désigner Me Jean-Samuel Leuba comme son conseil d’office avec effet au 10 juin 2021. Puisqu’elle est n’est pas en mesure de couvrir ses propres charges, la requête d’assistance judiciaire présentée par l’intimée doit également être admise, Me Claudia Couto étant désignée comme son conseil d’office avec effet au 11 juin 2021.</w:t>
      </w:r>
    </w:p>
    <w:p>
      <w:r>
        <w:rPr>
          <w:b/>
        </w:rPr>
        <w:t>E. 6.3</w:t>
      </w:r>
    </w:p>
    <w:p>
      <w:r>
        <w:t>Les frais judiciaires de deuxième instance seront arrêtés à 800 fr., soit 600 fr. pour l’appel (art. 65 al. 2 TFJC [tarif des frais judiciaires civils du 28 septembre 2010 ; BLV 270.11.5]) et 200 fr. pour l’ordonnance d’effet suspensif (art. 7 et 60 TFJC). Les parties ont toutes deux conclu en appel à la réduction de la pension. L’appelant a toutefois conclu à la quasi-suppression de celle-ci, de sorte qu’il se justifie, vu le sort de l’appel, de lui faire supporter les 4/5 des frais judiciaires, y compris ceux relatifs à la procédure d’effet suspensif dans laquelle il n’a obtenu que partiellement gain de cause, soit 640 fr. (800 fr. x 4/5), le solde, par 160 fr. (800 fr. – 640 fr.), étant mis à la charge de l’intimée (art. 106 al. 2 CPC). Au vu de l’assistance judiciaire octroyée aux deux parties, ces frais seront provisoirement laissés à la charge de l’Etat (art. 122 al. 1 let. b CPC).</w:t>
      </w:r>
    </w:p>
    <w:p>
      <w:r>
        <w:rPr>
          <w:b/>
        </w:rPr>
        <w:t>E. 6.4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sur l’assistance judiciaire en matière civile du</w:t>
      </w:r>
    </w:p>
    <w:p>
      <w:r>
        <w:rPr>
          <w:b/>
        </w:rPr>
        <w:t>E. 6.5</w:t>
      </w:r>
    </w:p>
    <w:p>
      <w:r>
        <w:t>Les bénéficiaires de l’assistance judiciaire sont tenus au remboursement des frais judiciaires et des indemnités à leurs conseils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6.6</w:t>
      </w:r>
    </w:p>
    <w:p>
      <w:r>
        <w:t>La charge des dépens de deuxième instance peut être estimée à 3'000 fr. pour chaque partie (art. 7 TDC [tarif des dépens en matière civile du 23 novembre 2010 ; BLV 270.11.6]). Au vu de la répartition des frais judiciaires, l’appelant versera à l’intimée la somme de 1'800 fr. (3'000 fr. x [4/5 – 1/5]) à titre de dépens de deuxième instance. Par ces motifs, la juge déléguée de la Cour d’appel civile prononce : I. L’appel est partiellement admis. II. L’ordonnance est réformée aux chiffres II et III de son dispositif comme il suit : II. constate que le montant assurant l'entretien convenable de l'enfant U.________, née le [...] 2007, s'élève à 3'061 fr. 05 (trois mille soixante et un francs et cinq centimes) du 1 er au 31 mai 2021, allocations familiales par 300 fr. (trois cents francs) déjà déduites ; III. dit que l'intimé R.________ contribuera à l'entretien de sa fille U.________, née le [...] 2007, par le régulier versement d'une pension de 1'780 fr. (mille sept cent huitante francs) du 1 er mai au 31 août 2021 et de 1'205 fr. (mille deux cent cinq francs) dès le 1 er septembre 2021, l’entier des allocations familiales étant dû en sus, payable d'avance le premier jour de chaque mois en main de la requérante J.________, à qui il appartiendra de s’acquitter des factures d’assurance-maladie et des frais liés à la répétitrice de U.________; L’ordonnance est confirmée pour le surplus. III. La requête d’assistance judiciaire de l’appelant R.________ est admise, Me Jean-Samuel Leuba étant désigné comme son conseil d’office avec effet au 10 juin 2021. IV. La requête d’assistance judiciaire de de l’intimée J.________ est admise, Me Claudia Couto étant désignée comme son conseil d’office avec effet au 11 juin 2021. V. Les frais judiciaires de deuxième instance, arrêtés à 800 fr. (huit cents francs), sont mis à la charge de l’appelant R.________ par 640 fr. (six cent quarante francs) et à la charge de l’intimée J.________ par 160 fr. (cent soixante francs) et provisoirement assumés par l’Etat compte tenu de l’assistance judiciaire. VI. L’indemnité de Me Jean-Samuel Leuba, conseil d’office de l’appelant R.________, est arrêtée à 2'125 fr. 65 (deux mille cent vingt-cinq francs et soixante-cinq centimes), TVA et débours compris. VII. L’indemnité de Me Claudia Couto, conseil d’office de l’intimée J.________, est arrêtée à 2'659 fr. 55 (deux mille six cent cinquante-neuf francs et cinquante-cinq centimes), TVA et débours compris. VIII. Les bénéficiaires de l’assistance judiciaire sont tenus au remboursement des frais judiciaires et des indemnités à leurs conseils d’office respectifs provisoirement laissés à la charge de l’Etat, dès qu’ils seront en mesure de le faire . IX. L’appelant R.________ doit verser à l’intimée J.________ la somme de 1'800 fr. (mille huit cents francs) à titre de dépens de deuxième instance. X. L’arrêt est exécutoire. La juge déléguée : La greffière : Du Le présent arrêt, dont la rédaction a été approuvée à huis clos, est notifié en expédition complète à : ‑ Me Jean-Samuel Leuba (pour R.________), ‑ Me Claudia Couto (pour J.________),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décembre 2010 ; BLV 211.02.3]). Le conseil d’office de l’appelant indique, dans sa liste des opérations du 9 décembre 2021, avoir consacré 10 heures et 45 minutes au dossier, ce qui peut être admis. L’indemnité de Me Jean-Samuel Leuba sera ainsi arrêtée à 1'935 fr. (10 h 45 x 180 fr.), montant auquel s’ajoutent les débours de 2 %, par 38 fr. 70, et la TVA sur le tout, par 151 fr. 95, soit une indemnité totale de 2'125 fr. 65. Le conseil d’office de l’intimée indique, dans sa liste des opérations du 10 décembre 2021, avoir consacré 13 heures et 27 minutes au dossier, ce qui peut être admis. L’indemnité de Me Claudia Couto sera ainsi arrêtée à 2'421 fr. (13 h 27 x 180 fr.), montant auquel s’ajoutent les débours de 2 %, par 48 fr. 40, et la TVA sur le tout, par 190 fr. 15, soit une indemnité totale de 2'659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