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960 vom 17. November 2021</w:t>
      </w:r>
    </w:p>
    <w:p>
      <w:r>
        <w:t>VD Tribunal cantonal, 2021-11-17, FR</w:t>
      </w:r>
    </w:p>
    <w:p>
      <w:r>
        <w:rPr>
          <w:b/>
        </w:rPr>
        <w:t xml:space="preserve">Quelle: </w:t>
      </w:r>
      <w:r>
        <w:t>https://mcp.opencaselaw.ch/entscheid/vd_findinfo_HC___2021___960</w:t>
      </w:r>
    </w:p>
    <w:p>
      <w:r>
        <w:t>FR: VD_FINDINFO HC / 2021 / 960 du 17 novembre 2021</w:t>
      </w:r>
    </w:p>
    <w:p>
      <w:r>
        <w:t>IT: VD_FINDINFO HC / 2021 / 960 del 17 novembre 2021</w:t>
      </w:r>
    </w:p>
    <w:p>
      <w:pPr>
        <w:pStyle w:val="Heading2"/>
      </w:pPr>
      <w:r>
        <w:t>Regeste</w:t>
      </w:r>
    </w:p>
    <w:p>
      <w:r>
        <w:t>RAISON DE COMMERCE, ABUS DE DROIT, RECTIFICATION{EN GÉNÉRAL} | 132 CPC (CH), 52 CPC (CH)</w:t>
      </w:r>
    </w:p>
    <w:p>
      <w:pPr>
        <w:pStyle w:val="Heading2"/>
      </w:pPr>
      <w:r>
        <w:t>Erwägungen</w:t>
      </w:r>
    </w:p>
    <w:p>
      <w:r>
        <w:rPr>
          <w:b/>
        </w:rPr>
        <w:t>E. 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 Selon l’art. 321 al. 1 CPC, le recours, écrit et motivé, doit être introduit auprès de l’instance de recours, soit en l’occurrence la Chambre des recours civile du Tribunal cantonal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interjeté en temps utile et dans les formes prescrites par une partie qui a un intérêt digne de protection (art. 59 al. 2 let. a CPC) contre une décision finale dont la valeur litigieuse au dernier état des conclusions est inférieure à 10’000 fr.,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3.1</w:t>
      </w:r>
    </w:p>
    <w:p>
      <w:r>
        <w:t>La recourante invoque une violation de l’art. 52 CPC. Elle fait valoir que l’intimée aurait volontairement omis de l’aviser, ainsi que la juge de paix, de son changement de raison sociale datant du mois de février 2021 dans le but de retarder l’échéance d’une libération de dette. Elle ajoute que cela a eu comme conséquence que la motivation du prononcé de mainlevée, datée du 2 mars 2021, a fait mention de la société I.________ au lieu [...] AG et relève que l’intimée n’a pas réagi au moment de la notification de cette décision, alors qu’elle avait déjà opéré sa transformation.</w:t>
      </w:r>
    </w:p>
    <w:p>
      <w:r>
        <w:rPr>
          <w:b/>
        </w:rPr>
        <w:t>E. 3.2</w:t>
      </w:r>
    </w:p>
    <w:p>
      <w:r>
        <w:t>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 qui constitue un abus de droit (ATF 140 III 481 consid. 2.3.2 ; TF 4A_476/2021 du 9 septembre 2021 consid. 3.2 ; TF 4A_181/2020 du 30 novembre 2020 consid. 5.2). Il n’existe cependant pas de principe selon lequel une partie est liée par son propre comportement. Un comportement contraire à un précédent comportement n’est contraire à la bonne foi que s’il a créé une attente légitime chez sa partie adverse, qui est trompée par la nouvelle position (ATF 144 III 666 consid. 4.2). La partie adverse doit avoir pris des dispositions sur la base de la confiance créée qui se révèlent maintenant désavantageuses pour lui (ATF 125 III 257 consid. 2a ; TF 4A_601/2020 du 11 mai 2021 consid. 4.5).</w:t>
      </w:r>
    </w:p>
    <w:p>
      <w:r>
        <w:rPr>
          <w:b/>
        </w:rPr>
        <w:t>E. 3.3</w:t>
      </w:r>
    </w:p>
    <w:p>
      <w:r>
        <w:t>En l’espèce, la recourante confond le « prononcé de la décision » avec la « motivation de la décision ». Dans le cas présent, la juge de paix a rendu sa décision de mainlevée provisoire au moyen d’un dispositif le 20 novembre 2020. La motivation de cette décision n’est intervenue qu’ultérieurement, à savoir le 2 mars 2021. Or, à la date à laquelle le dispositif a été rendu, la société I.________ existait encore bel et bien, puisque la transformation de celle-ci n’a eu lieu qu’au mois de février 2021. Ainsi, le recourante ne saurait affirmer que la décision de mainlevée a été notifiée à une partie qui n’existait pas. Par ailleurs, quoi qu’en dise la recourante, il lui incombait de vérifier l’existence de sa partie adverse avant de déposer sa demande du 22 mars 2021 devant le premier juge. En effet, selon les art. 936a al. 1 et 936b CO (Code des obligations du 30 novembre 1911 ; RS 220), la recourante pouvait et devait, à ce moment-là, avoir connaissance du changement de type de société et de raison sociale d’I.________, dès lors que ce changement a été publié dans la FOSC le 16 février 2021. Cette même publication est d’ailleurs également parue dans la FAO quelques jours plus tard. Au regard de ces éléments, on ne discerne aucune violation de l’art. 52 CPC.</w:t>
      </w:r>
    </w:p>
    <w:p>
      <w:r>
        <w:rPr>
          <w:b/>
        </w:rPr>
        <w:t>E. 4.1</w:t>
      </w:r>
    </w:p>
    <w:p>
      <w:r>
        <w:t>La recourante invoque une violation de l’art. 132 CPC. Elle soutient que les conclusions figurant dans sa demande ne contiendraient qu’une simple erreur de désignation concernant la partie adverse et que celle-ci relèverait d’un vice de forme réparable. Elle ajoute que la désignation inexacte n’a été que temporaire, dès lors qu’elle a rectifié sa demande dans le cadre de son courrier du 29 avril 2021, que cette désignation inexacte était aisément décelable et rectifiable et qu’elle n’a créé aucune confusion.</w:t>
      </w:r>
    </w:p>
    <w:p>
      <w:r>
        <w:rPr>
          <w:b/>
        </w:rPr>
        <w:t>E. 4.2</w:t>
      </w:r>
    </w:p>
    <w:p>
      <w:r>
        <w:t>Selon l’art. 132 al. 1 CPC, le tribunal fixe un délai pour la rectification des vices de forme telle l’absence de signature ou de procuration. À défaut, l’acte n’est pas pris en considération. L’alinéa 1 de cette disposition légale s’applique également aux actes illisibles, inconvenants, incompréhensibles ou prolixes. L’art. 132 al. 1 CPC permet de réparer certaines inadvertances qui surviennent parfois lors du dépôt d’un acte. Il se rapporte textuellement à des vices de forme ; le plaideur ne peut donc pas s’en prévaloir afin de remédier aux éventuelles insuffisances de ses moyens au fond. L’art. 132 al. 2 CPC permet de réparer certains manquements typiques des plaideurs qui procèdent sans l’as-sistance d’un avocat. Il n’est pas non plus destiné à permettre le complètement de moyens par ailleurs correctement présentés (TF 4A_659/ 2011 du 7 décembre 2011 consid. 5, RSPC 2012 p. 128). L’octroi d’un délai en vue de la rectification suppose que le manquement repose sur une inadvertance et qu’il ne soit par conséquent pas volontaire (ATF 142 I 10 consid. 2.4.7 ; TF 5A_932/2018 du 22 juillet 2019 consid. 3.4.1 ; TF 5D_124/2016 du 26 septembre 2016 consid. 2.2 ; TF 5A_461/2012 du 1 er février 2013 consid. 4.1, RSPC 2015 p. 438). Est notamment irréparable le vice résultant de l’omission d’adapter ou de modifier des conclusions à une nouvelle situation de fait (TF 5A_1036/2019 du 10 juin 2020 consid. 4.4, RSPC 2020 p. 516).</w:t>
      </w:r>
    </w:p>
    <w:p>
      <w:r>
        <w:rPr>
          <w:b/>
        </w:rPr>
        <w:t>E. 4.3</w:t>
      </w:r>
    </w:p>
    <w:p>
      <w:r>
        <w:t>En l’espèce, il est constant que, d’une part, la société I.________ n’existe plus depuis le 16 février 2021 et que, d’autre part, la fusion de cette société avec [...] Sàrl, par reprise des actifs et des passifs de celle-ci, puis sa transformation en [...] AG ont été portés à la connaissance de la recourante (cf. art. 936b al. 1 CO). Ainsi, on ne saurait considérer que la désignation inexacte de sa partie adverse par l’intéressée résulte d’une inadvertance. Or, l’art. 132 CPC permet uniquement de réparer de simples vices de forme consécutifs à, précisément, des inadvertances. Il ne trouve donc pas application dans le cas d’espèce. En outre, comme l’a relevé la juge de paix, la recourante n’a ni allégué la transformation, après fusion, de l’intimée ni documenté celle-ci en procédure, de sorte qu’il n’était pas possible pour cette autorité d’assimiler la société I.________ à la société [...] AG. Le grief est donc infondé.</w:t>
      </w:r>
    </w:p>
    <w:p>
      <w:r>
        <w:rPr>
          <w:b/>
        </w:rPr>
        <w:t>E. 5</w:t>
      </w:r>
    </w:p>
    <w:p>
      <w:r>
        <w:t>La recourante invoque enfin une violation des art. 25 et 26 LFus. Ces dispositions légales visent à protéger les créanciers et les travailleurs de la société reprise par la société reprenante. Or, en l’espèce, c’est l’intimée qui dispose d’une créance à l’égard de la recourante, et non l’inverse. Le moyen est donc vain.</w:t>
      </w:r>
    </w:p>
    <w:p>
      <w:r>
        <w:rPr>
          <w:b/>
        </w:rPr>
        <w:t>E. 6</w:t>
      </w:r>
    </w:p>
    <w:p>
      <w:r>
        <w:t>En définitive, le recours, manifestement infondé (art. 322 al. 1 in fine CPC), doit être rejeté et la décision entreprise confirmée. Les frais judiciaires de deuxième instance, arrêtés à 400 fr. (art. 69 al. 1 TFJC [tarif des frais judiciaires civils du 28 septembre 2010 ; BLV 270.11.5]), seront mis à la charge de la recourante, qui succombe (art. 106 al. 1 CPC). Il n’y a pas lieu d’allouer des dépens de deuxième instance, l’intimée n’ayant pas été invitée à se déterminer. Par ces motifs, la Chambre des recours civile du Tribunal cantonal, prononce : I. Le recours est rejeté. II. La décision est confirmée. III. Les frais judiciaires de deuxième instance, arrêtés à 400 fr. (quatre cents francs), sont mis à la charge de la recourante G.________. IV. L’arrêt est exécutoire. Le président :               Le greffier : Du L’arrêt qui précède, dont la rédaction a été approuvée à huis clos, est notifié à : ‑ Me Albert J. Graf, avocat (pour G.________), ‑ Me Adrienne Favre, avocate (pour [...] AG),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