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94 vom 4. Februar 2021</w:t>
      </w:r>
    </w:p>
    <w:p>
      <w:r>
        <w:t>VD Tribunal cantonal, 2021-02-04, FR</w:t>
      </w:r>
    </w:p>
    <w:p>
      <w:r>
        <w:rPr>
          <w:b/>
        </w:rPr>
        <w:t xml:space="preserve">Quelle: </w:t>
      </w:r>
      <w:r>
        <w:t>https://mcp.opencaselaw.ch/entscheid/vd_findinfo_HC___2021___94</w:t>
      </w:r>
    </w:p>
    <w:p>
      <w:r>
        <w:t>FR: VD_FINDINFO HC / 2021 / 94 du 4 février 2021</w:t>
      </w:r>
    </w:p>
    <w:p>
      <w:r>
        <w:t>IT: VD_FINDINFO HC / 2021 / 94 del 4 febbraio 2021</w:t>
      </w:r>
    </w:p>
    <w:p>
      <w:pPr>
        <w:pStyle w:val="Heading2"/>
      </w:pPr>
      <w:r>
        <w:t>Regeste</w:t>
      </w:r>
    </w:p>
    <w:p>
      <w:r>
        <w:t>EFFET SUSPENSIF, REJET DE LA DEMANDE, OBLIGATION D'ENTRETIEN, DROIT À DES CONDITIONS MINIMALES D'EXISTENCE | 315 al. 4 let. b CPC (CH), 315 al. 5 CPC (CH)</w:t>
      </w:r>
    </w:p>
    <w:p>
      <w:pPr>
        <w:pStyle w:val="Heading2"/>
      </w:pPr>
      <w:r>
        <w:t>Erwägungen</w:t>
      </w:r>
    </w:p>
    <w:p>
      <w:r>
        <w:rPr>
          <w:b/>
        </w:rPr>
        <w:t>E. 4</w:t>
      </w:r>
    </w:p>
    <w:p>
      <w:r>
        <w:t>Par acte du 29 janvier 2021, B.U.________ (ci-après également : l'appelante) a interjeté appel contre cette ordonnance, en concluant, avec suite de frais et dépens, à sa réforme, en ce sens que le montant de la pension due par A.________ (ci-après également : l’intimé) pour son entretien soit ramenée à 1'700 fr. par mois. Elle a requis l'octroi de l’effet suspensif à son appel.</w:t>
      </w:r>
    </w:p>
    <w:p>
      <w:r>
        <w:rPr>
          <w:b/>
        </w:rPr>
        <w:t>E. 5.1</w:t>
      </w:r>
    </w:p>
    <w:p>
      <w:r>
        <w:t>A l'appui de sa requête d'effet suspensif, l'appelante fait valoir qu’une erreur de calcul se serait glissée dans la détermination des frais de transport retenus pour l’intimé. Par ailleurs, elle soutient que l’exécution immédiate de l’ordonnance querellée la contraindrait à émarger à l’aide sociale. A cet égard, elle expose que la constitution d’un dossier en vue de telles démarches constituerait une charge disproportionnée pour elle, compte tenu de sa situation personnelle – l’appelante étant au bénéfice d’une demi-rente de l’assurance-invalidité –, ce d’autant plus que les démarches en question pourraient s’avérer inutiles en cas d’admission de l’appel. Les circonstances qui précèdent seraient propres à causer un préjudice difficilement réparable à l’appelante, laquelle relève qu’elle n’aurait aucune difficulté à rembourser un éventuel trop-perçu à l’intimé en cas de rejet de l’appel, dès lors que les parties ont mis en vente l’immeuble dont elles sont copropriétaires. De l’avis de l’appelante, l’intimé ne serait, pour sa part, exposé à aucun préjudice en cas d’octroi de l’effet suspensif à l’appel, puisqu’il a été en mesure de s’acquitter de la pension fixée à 1'700 fr., selon la convention ratifiée le 14 janvier 2019, jusqu’au prononcé de l’ordonnance entreprise.</w:t>
      </w:r>
    </w:p>
    <w:p>
      <w:r>
        <w:rPr>
          <w:b/>
        </w:rPr>
        <w:t>E. 5.2</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ATF 137 III 475 consid. 4.1). L'autorité d'appel doit par ailleurs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L'obligation d'entretien trouve toujours sa limite inférieure dans la capacité contributive du débirentier, en ce sens que le minimum vital de celui-ci selon le droit des poursuites doit être préservé (TF 5A_470/2016 du 13 décembre 2016 consid. 6.1.1 ; TF 5A_432/2011 du 20 septembre 2011 consid. 3.5 ; ATF 126 III 353 [spéc. 355 ss], JdT 2002 I 162) : un déficit est donc assumé par les seuls créanciers, même s'il s'agit des enfants mineurs. Cette règle est absolue : toute atteinte au minimum vital, même de l'ordre de quelques dizaines de francs, est illicite (TF 5A_58/2018 du 17 janvier 2018 consid. 4 ; cf. également de Luze/Page/Stoudmann , Droit de la famille, Code annoté, Lausanne 2013, n. 157 ad art. 176 et les références citées).</w:t>
      </w:r>
    </w:p>
    <w:p>
      <w:r>
        <w:rPr>
          <w:b/>
        </w:rPr>
        <w:t>E. 5.3</w:t>
      </w:r>
    </w:p>
    <w:p>
      <w:r>
        <w:t>En l’espèce, le fait pour l’appelante de devoir émarger à l’aide sociale ne suffit pas, à lui seul, à retenir l’existence d’un préjudice difficilement réparable au sens restrictif de l'art. 315 al. 5 CPC, ce d’autant plus que la perception de la contribution d’entretien précédemment en vigueur ne lui permettrait pas non plus de couvrir son minimum vital. Il apparaît à l’inverse, prima facie , que le versement de la contribution arrêtée dans la convention approuvée le 14 janvier 2019, d’un montant de 1'700 fr. par mois, est susceptible d'entamer le minimum vital de l’intimé, l'ordonnance attaquée retenant que le budget de celui-ci présente un disponible mensuel de 1'148 fr. 15. Le fait que l’appelante doive recourir à l’aide éventuelle des services sociaux ne saurait justifier qu’il soit porté atteinte au minimum vital de l’intimé tel qu’arrêté dans l’ordonnance querellée, lequel n’apparaît pas, toujours après un examen prima facie , comme étant manifestement erroné. Enfin, aucun élément ne permet à ce stade de retenir que l’appelante aurait des difficultés à obtenir le paiement d’un éventuel manco par l’intimé en cas d’admission de son appel, B.U.________ ne l’alléguant du reste pas. Dans ces circonstances, l’intérêt de l’intimé à une exécution immédiate de l’ordonnance entreprise l’emporte sur celui de l’appelante à sa suspension jusqu’à droit connu sur l’appel, étant relevé qu’une audience d’appel sera tenue à brève échéance.</w:t>
      </w:r>
    </w:p>
    <w:p>
      <w:r>
        <w:rPr>
          <w:b/>
        </w:rPr>
        <w:t>E. 6</w:t>
      </w:r>
    </w:p>
    <w:p>
      <w:r>
        <w:t>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La greffière : Du La présente ordonnance, dont la rédaction a été approuvée à huis clos, est notifiée à : ‑ Me Catherine Merényi (pour B.U.________), ‑ Me Jillian Fauguel (pour A.________), et communiquée, par l'envoi de photocopies, à : ‑ Mme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