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875 vom 22. September 2021</w:t>
      </w:r>
    </w:p>
    <w:p>
      <w:r>
        <w:t>VD Tribunal cantonal, 2021-09-22, FR</w:t>
      </w:r>
    </w:p>
    <w:p>
      <w:r>
        <w:rPr>
          <w:b/>
        </w:rPr>
        <w:t xml:space="preserve">Quelle: </w:t>
      </w:r>
      <w:r>
        <w:t>https://mcp.opencaselaw.ch/entscheid/vd_findinfo_HC___2021___875</w:t>
      </w:r>
    </w:p>
    <w:p>
      <w:r>
        <w:t>FR: VD_FINDINFO HC / 2021 / 875 du 22 septembre 2021</w:t>
      </w:r>
    </w:p>
    <w:p>
      <w:r>
        <w:t>IT: VD_FINDINFO HC / 2021 / 875 del 22 settembre 2021</w:t>
      </w:r>
    </w:p>
    <w:p>
      <w:pPr>
        <w:pStyle w:val="Heading2"/>
      </w:pPr>
      <w:r>
        <w:t>Regeste</w:t>
      </w:r>
    </w:p>
    <w:p>
      <w:r>
        <w:t>ADMISSION DE LA DEMANDE, ENFANT, REPRÉSENTATION | 299 CPC (CH)</w:t>
      </w:r>
    </w:p>
    <w:p>
      <w:pPr>
        <w:pStyle w:val="Heading2"/>
      </w:pPr>
      <w:r>
        <w:t>Erwägungen</w:t>
      </w:r>
    </w:p>
    <w:p>
      <w:r>
        <w:rPr>
          <w:b/>
        </w:rPr>
        <w:t>E. 1.1</w:t>
      </w:r>
    </w:p>
    <w:p>
      <w:r>
        <w:t>Le recours est dirigé par A.Y.________ contre la décision du premier juge refusant de lui désigner un curateur de représentation au sens de l’art. 299 CPC. Une telle décision constitue une ordonnance d'instruction (Jeandin, CPC commenté, Bâle 2011, n. 15 ad art. 299 CPC). Le mineur capable de discernement ne peut agir qu’avec le consentement de son représentant légal (art. 19 al. 1 CC) ; il peut toutefois agir lui-même (le cas échéant avec un représentant de son choix : ATF 120 Ia 369 ; TF 5A_123/2020 du 7 octobre 2020 consid. 1.1) pour l’exercice de ses droits strictement personnels (art. 19c al. 1 CC), ce qui est le cas lorsqu’en application de l’art. 299 al. 3 CPC, il fait valoir son droit à la désignation d’un représentant procédural, que ce soit en instance cantonale ou, sur recours, au Tribunal fédéral (TF 5A_769/2019 du 18 mars 2020 consid. 2.3 rendu dans le cadre de l’art. 314a bis CC ; TF 5A_123/2020 précité consid. 1.1). Le recours doit être interjeté dans un délai de dix jours (art. 321 al. 2 CPC) devant la Chambre des recours civile (art. 73 al. 1 LOJV [loi vaudoise d'organisation judiciaire du 12 décembre 1979 ; BLV 173.01]).</w:t>
      </w:r>
    </w:p>
    <w:p>
      <w:r>
        <w:rPr>
          <w:b/>
        </w:rPr>
        <w:t>E. 1.2</w:t>
      </w:r>
    </w:p>
    <w:p>
      <w:r>
        <w:t>Au vu de ce qui précède, Me Christophe Borel a la capacité d’agir au nom et pour le compte de l’enfant A.Y.________. Pour le surplus, le recours, déposé en temps utile par une partie qui dispose d’un intérêt digne de protection,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2.2</w:t>
      </w:r>
    </w:p>
    <w:p>
      <w:r>
        <w:t>Selon l’art. 326 CPC, les conclusions, les allégations de faits et les preuves nouvelles sont irrecevables (al. 1), les dispositions spéciales de la loi étant réservées (al. 2). Toutefois, lorsque le procès est soumis à la maxime inquisitoire illimitée (art. 296 al. 1 CPC), l’exclusion de nova en procédure de recours stricto sensu (art. 326 al. 1 CPC) n’est pas applicable pour ce qui concerne le sort de l’enfant (TF 5A_290/2020 du 8 décembre 2020 consid. 3.3.5). En l’espèce, outre des pièces de forme, les parties ont produit des pièces qui, pour la plupart, figurent au dossier de première instance, de sorte qu’elles sont recevables. Le courrier adressé par la recourante à l’ambassade des [...] le 17 août 2021 ainsi que le courrier réponse de cette ambassade (p. 17), l’article commentant un arrêt du Tribunal fédéral (p. 18), le courriel adressé par la recourante à Me Christophe Borel (p. 12) et le courrier de [...] adressé à Me Christophe Borel le 6 février 2020 (p. 13) sont des pièces nouvelles et, par conséquent, en principe recevables dès lors qu’elles concernent le sort de l’enfant. Il sied de préciser que la question de leur recevabilité n’est de toute manière pas déterminante sur l’issue du recours.</w:t>
      </w:r>
    </w:p>
    <w:p>
      <w:r>
        <w:rPr>
          <w:b/>
        </w:rPr>
        <w:t>E. 3.1</w:t>
      </w:r>
    </w:p>
    <w:p>
      <w:r>
        <w:t>A l’appui de son recours, la recourante se prévaut d’une constatation manifestement inexacte des faits et d’une violation du droit. Elle reproche à l’autorité de première instance d’avoir retenu que la Cour de céans se serait déjà penchée sur l’objet de la requête tendant à la désignation d’un curateur de représentation en procédure de divorce (art. 299 CPC). Elle soutient que plusieurs éléments nouveaux seraient survenus depuis cet arrêt. Elle fait valoir à cet égard son accession à l’âge de quatorze ans, la teneur du courrier du 17 janvier 2020 du SPJ, son changement de résidence, ainsi que son expérience de résider à [...]. Elle n’aurait eu d’autres choix que de consulter un avocat par l’intermédiaire du [...] du canton de [...], pour se faire entendre et que ses droits soient enfin respectés. Elle ne voit au surplus pas en quoi l’arrêt CREC 10 décembre 2019/339 au sujet d’une situation de septembre 2019, aurait déjà pu trancher une requête du 17 décembre 2019. Ce serait ainsi arbitrairement et en violation du droit (art. 59 al. 2 CPC) que sa requête du 18 janvier 2020 aurait été considérée comme irrecevable. Par ailleurs, la présidente aurait perdu de vue que l’enfant peut formuler une telle requête à tous les stades de la procédure et vraisemblablement en tout temps, de sorte que la décision attaquée violerait également son droit d’être entendue, de participer et de pouvoir être représentée par un curateur sur simple demande (art. 12 CDE [ Convention du 20 novembre 1989 relative aux droits de l'enfant ; RS 0.107] , 11 al. 2 Cst. et 299 al. 3 CPC). Ses souhaits dans le cadre de la procédure de divorce n’auraient pas été pris en considération que ce soit par la curatrice d’assistance éducative, respectivement de surveillance des droits de visite, ou même par l’autorité de première instance. En outre, elle rappelle que le Tribunal fédéral, dans son arrêt 5A_123/2020 du 7 octobre 2020, a expressément indiqué que l’issue du recours, qui statuait de la requête déposée dans le cadre des mesures provisionnelles, ne préjugeait pas du sort à réserver à une nouvelle requête déposée dans le cadre de la procédure de divorce. L’intimée R.________, pour sa part, soutient que la question de la nomination d’un curateur avait déjà fait l’objet d’une décision de la Cour de céans et que le délai de recours devant le Tribunal fédéral n’était pas échu au moment du dépôt de la requête du 18 janvier 2020, de sorte que la présidente ne pouvait se saisir de la même question, au risque de rendre une décision en contradiction avec celle que le Tribunal fédéral pouvait être amené à prononcer. De plus, aucun élément nouveau ne justifiait de revenir sur la décision de refus, la recourante s’étant contentée de rediscuter l’arrêt rendu le 10 décembre 2019 par la Cour de céans. Elle relève que les souhaits de la recourante ont été entendus, tant par la présidente que par les autres intervenants. Ils ont également été traités dans le cadre du complément d’expertise du 8 décembre 2020. Elle soutient que l’enfant confond son droit d’être entendue avec l’appréciation de ses propos effectuée par la présidente. Elle est d’avis que la nomination d’un curateur de représentation pourrait être refusée lorsque la DGEJ intervient déjà dans la situation et également lorsque la procédure serait sur le point d’être achevée, conditions qui seraient réalisées.</w:t>
      </w:r>
    </w:p>
    <w:p>
      <w:r>
        <w:rPr>
          <w:b/>
        </w:rPr>
        <w:t>E. 3.2</w:t>
      </w:r>
    </w:p>
    <w:p>
      <w:r>
        <w:t>Aux termes de l’art. 299 al. 1 CPC, le tribunal ordonne si nécessaire la représentation de l’enfant et désigne un curateur expérimenté dans le domaine de l’assistance en matière juridique. La nécessité de la représentation de l’enfant selon l’art. 299 CPC tient au principe fondamental qui gouverne toute procédure matrimoniale, à savoir parvenir à une décision finale qui prenne en compte de façon adéquate le bien de l’enfant (Jeandin, Commentaire romand, Code de procédure civile, 2 e éd., Bâle 2019, n. 5 ad art. 299 CPC ; Steck, Basler Kommentar, ZPO, 3 e éd., Bâle 2017, art. 298 N 1). Si l’enfant capable de discernement requiert lui-même la nomination d'un curateur, le juge doit y donner suite (TF 5A_976/2014 du 30 juillet 2015 consid. 2.5.2.3 ; TF 5A_744/2013 du 31 janvier 2014 consid. 3.2.2 ; TF 5A_465/2012 du 18 septembre 2012 consid. 4.1.2 ; TF 5A_619/2007 du 25 février 2008 consid. 4.1, publié in FamPra.ch 2008 p. 700 ; TF 5C.210/2000 du 27 octobre 2000 consid. 2b, publié in FamPra.ch 2001 p. 606). L’art. 299 al. 3 CPC prévoit en effet un cas dans lequel le tribunal n’a pas d’autres choix que de désigner un représentant en faveur de l’enfant, peu importe que cette mesure paraisse nécessaire ou non : l’enfant – non partie à la procédure – en fait lui-même la demande, et il est capable de discernement, cette dernière condition devant s’examiner à la lumière de l’art. 16 CC. C’est le seul cas de représentation impératif proprement dit, puisqu’il ne dépend pas de l’appréciation du tribunal (Jeandin, op. cit., n. 16 ad art. 299 CPC ; Gasser/Rickli, Schweizerische Zivilprozessordnung, Kurzkommentar, 2 e éd., Zurich 2014, n. 5 ad art. 299 ; Steck, BSK, ZPO, n. 7 ad art. 299 ; Pradervand-Kernen, La position juridique de l’enfant dans la procédure civile, à l’aune de quelques questions particulières, in FamPra.ch 2016 p. 356). La loi ne fixe pas d’âge déterminé à partir duquel un enfant mineur est censé avoir la capacité de discernement. Il faut apprécier dans chaque cas si l’intéressé a un âge suffisant pour que l’on puisse admettre que sa faculté d’agir raisonnablement n’est pas altérée par rapport à l’acte considéré (art. 16 CC ; ATF 134 II 235 consid. 4). L’enfant peut formuler sa requête à tous les stades de la procédure, y compris devant l’instance cantonale supérieure (Jeandin, op. cit., n. 17 ad art. 299 al. 3 CPC). S’agissant de la personne à désigner, dès lors que la fonction du représentant de l’enfant ne consiste pas à mener l’activité d’un avocat (cf. ATF 142 III 153 consid. 5.2.2), il faut partir de l’idée que la représentation de l’enfant par un avocat constitue l’exception. Il peut évidemment être indiqué de mandater un avocat, lorsqu’il se pose avant tout des questions juridiques, de procédure ou de fond. Il n’est en revanche généralement pas justifié de mandater un avocat lorsqu’une partie très importante de son activité – toujours interdisciplinaire – consiste à prendre des renseignements sur place (interrogatoire de personnes de référence, etc.). Pour cela, des travailleurs ou pédagogues sociaux ou – pour les petits enfants – des psychologues pour enfants (disposant de suffisamment de connaissances juridiques), voire des juristes avec une formation adéquate, sont mieux adaptés (CPC Online, newsletter du 9 mars 2016, note de Bastons Bulletti sur l’arrêt ATF 142 III 153 consid. 5.2.2 ).</w:t>
      </w:r>
    </w:p>
    <w:p>
      <w:r>
        <w:rPr>
          <w:b/>
        </w:rPr>
        <w:t>E. 3.3</w:t>
      </w:r>
    </w:p>
    <w:p>
      <w:r>
        <w:t>A l’instar du Tribunal fédéral, il y a lieu de constater que la requête du 4 septembre 2019 de l’enfant A.Y.________ tendant à la désignation d’un représentant au sens de l’art. 299 CPC a été formulée juste après la notification de l’ordonnance de mesures provisionnelles du 30 août 2019 qui accordait notamment la garde des filles du couple à la mère, et un jour avant l’appel interjeté par le père contre ce prononcé. L’enfant souhaitait ainsi faire entendre son désir de rester avec ce dernier et de ne pas suivre sa mère en Suisse alémanique, départ qui avait été annoncé pour le 1 er septembre 2019 au juge des mesures provisionnelles. Par conséquent, la demande de la recourante tendant à ce qu’elle soit représentée par un curateur de procédure s’inscrivait dans la procédure de mesures provisionnelles et, plus singulièrement, dans la procédure d’appel ouverte contre ces mesures provisionnelles. Cependant, la présente cause ne concerne pas la procédure de mesures provisionnelles, mais la procédure de divorce. En effet, le 17 décembre 2019, et à nouveau le 18 janvier 2020, A.Y.________ a déposé une requête en désignation d’un représentant au sens de l’art. 299 CPC pour la procédure de divorce. Le Tribunal fédéral, dans son arrêt 5A_123/2020 du 7 octobre 2020, a également précisé que l’issue du recours traité dans le cadre de la procédure de mesures provisionnelles ne préjugeait pas du sort à réserver à une nouvelle requête déposée dans le cadre de la procédure de divorce. Dans ces conditions, c’est à tort que la présidente a déclaré irrecevable la requête du 18 janvier 2020 au motif que son objet avait d’ores et déjà été tranché. En l’espèce, l’enfant A.Y.________ était âgée de quatorze ans au moment du dépôt de sa requête et de quinze ans aujourd’hui. Elle a notamment été entendue dans le cadre de l’instruction menée par la présidente. Elle a en outre de son propre chef pris contact avec deux avocats, soit Me W.________, puis Me Christophe Borel, afin de solliciter la désignation d’un curateur de représentation, dans l’optique de formuler des propositions dans la procédure de divorce qui divise ses parents, en particulier s’agissant de la question de l’attribution de la garde. Ainsi, il y a lieu de constater que A.Y.________ est capable de discernement. L’art. 299 al. 3 CPC prévoit un droit absolu à la désignation d’un curateur lorsque l’enfant capable de discernement en fait la demande. Il s’agit d’un cas de représentation impératif, qui ne dépend pas de l’appréciation du juge. Il importe ainsi peu de savoir si la recourante a pu relayer ses souhaits par l’intermédiaire de la DGEJ ou de ses curatrices – dont les tâches ne comprennent pas la représentation en justice – ou à quel stade de la procédure de divorce l’on se trouve. Partant, la requête formée par A.Y.________ doit être admise et la cause renvoyée à la présidente pour examen du représentant adéquat, étant précisé que le choix de la personne à désigner doit être fait au regard des intérêts de l’enfant selon son bien objectif, la représentation ne devant être confiée qu’exceptionnellement à des avocats, mais plutôt à des travailleurs sociaux ou des éducateurs (ATF 142 III 153 consid. 5.2.2).</w:t>
      </w:r>
    </w:p>
    <w:p>
      <w:r>
        <w:rPr>
          <w:b/>
        </w:rPr>
        <w:t>E. 4.1</w:t>
      </w:r>
    </w:p>
    <w:p>
      <w:r>
        <w:t>Pour ces motifs, le recours doit être admis, la décision annulée et la cause renvoyée à la présidente pour qu’elle procède dans le sens des considérants.</w:t>
      </w:r>
    </w:p>
    <w:p>
      <w:r>
        <w:rPr>
          <w:b/>
        </w:rPr>
        <w:t>E. 4.2</w:t>
      </w:r>
    </w:p>
    <w:p>
      <w:r>
        <w:t>Vu l’issue du recours, les frais judiciaires de deuxième instance, arrêtés à 300 fr. (art. 71 al. 1 TFJC [tarif des frais judiciaires civils du 28 septembre 2010 ; BLV 270.11.5]), seront mis à la charge de l’intimée R.________ (art. 106 al. 1 CPC).</w:t>
      </w:r>
    </w:p>
    <w:p>
      <w:r>
        <w:rPr>
          <w:b/>
        </w:rPr>
        <w:t>E. 4.3</w:t>
      </w:r>
    </w:p>
    <w:p>
      <w:r>
        <w:t>L’intimée R.________ doit de pleins dépens de deuxième instance à la recourante, qui peuvent être arrêtés à 2'500 fr. (art. 9 al. 2 TDC [tarif des dépens en matière civile du 23 novembre 2010, RSV 270.11.6]). Aucuns dépens ne seront alloués à B.Y.________, celui-ci ayant conclu à l’admission du recours.</w:t>
      </w:r>
    </w:p>
    <w:p>
      <w:r>
        <w:rPr>
          <w:b/>
        </w:rPr>
        <w:t>E. 4.4</w:t>
      </w:r>
    </w:p>
    <w:p>
      <w:r>
        <w:t>Dès lors que les frais et les dépens du présent arrêt sont mis à la charge de l’intimée R.________, il n’y a pas lieu d’arrêter l’indemnité due au conseil d’office de la recourante pour la procédure de deuxième instance, et la requête d’assistance judiciaire est sans objet. Par ces motifs, la Chambre des recours civile du Tribunal cantonal, prononce : I. Le recours est admis. II. Le prononcé est annulé et la cause est retournée à la Présidente du Tribunal civil de l’arrondissement de l’Est vaudois pour qu’elle rende une nouvelle décision dans le sens des considérants. III. La requête d’assistance judiciaire est sans objet. IV. Les frais judiciaires de deuxième instance, arrêtés à 300 fr. (trois cents francs), sont mis à la charge de l’intimée R.________. V. L’intimée R.________ doit verser à la recourante A.Y.________ la somme de 2'500 fr. (deux mille cinq cents francs) à titre de dépens de deuxième instance. VI. L’arrêt est exécutoire. Le président :               La greffière : Du L'arrêt qui précède, dont la rédaction a été approuvée à huis clos, est notifié à : ‑ Me Christophe Borel (pour A.Y.________), ‑ Me Matthieu Genillod (pour R.________), ‑ Me Alain Vuithier (pour B.Y.________), ‑ Direction générale de l’enfance et de la jeunesse, [...], Chef de Service de l’ORPM de l’Est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